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2053219749"/>
        <w:docPartObj>
          <w:docPartGallery w:val="Cover Pages"/>
          <w:docPartUnique/>
        </w:docPartObj>
      </w:sdtPr>
      <w:sdtEndPr/>
      <w:sdtContent>
        <w:p w14:paraId="2FC77DA2" w14:textId="77777777" w:rsidR="00FC4067" w:rsidRDefault="00FC4067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041889F4" wp14:editId="3C7114A8">
                <wp:simplePos x="914400" y="914400"/>
                <wp:positionH relativeFrom="column">
                  <wp:align>center</wp:align>
                </wp:positionH>
                <wp:positionV relativeFrom="page">
                  <wp:align>top</wp:align>
                </wp:positionV>
                <wp:extent cx="7542000" cy="10666800"/>
                <wp:effectExtent l="0" t="0" r="1905" b="127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NCP_General-Word-Cover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2000" cy="106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2B88CB" w14:textId="77777777" w:rsidR="00FC4067" w:rsidRDefault="007F0E24"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593241A7" wp14:editId="458624AC">
                    <wp:simplePos x="0" y="0"/>
                    <wp:positionH relativeFrom="column">
                      <wp:posOffset>-250190</wp:posOffset>
                    </wp:positionH>
                    <wp:positionV relativeFrom="paragraph">
                      <wp:posOffset>4139565</wp:posOffset>
                    </wp:positionV>
                    <wp:extent cx="5158740" cy="1404620"/>
                    <wp:effectExtent l="0" t="0" r="381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4BC6C" w14:textId="0B6F3B44" w:rsidR="00FC4067" w:rsidRPr="00FC4067" w:rsidRDefault="007F0E24" w:rsidP="00FC4067">
                                <w:pP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 xml:space="preserve">Meeting </w:t>
                                </w:r>
                                <w:r w:rsidR="00032027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72"/>
                                    <w:szCs w:val="72"/>
                                  </w:rPr>
                                  <w:t>3</w:t>
                                </w:r>
                              </w:p>
                              <w:p w14:paraId="1C1D4019" w14:textId="414E476C" w:rsidR="00FC4067" w:rsidRPr="00FC4067" w:rsidRDefault="005430C8" w:rsidP="00FC4067">
                                <w:pPr>
                                  <w:rPr>
                                    <w:rFonts w:ascii="Arial" w:hAnsi="Arial" w:cs="Arial"/>
                                    <w:b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Friday </w:t>
                                </w:r>
                                <w:r w:rsidR="00032027"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>28 May</w:t>
                                </w:r>
                                <w:r>
                                  <w:rPr>
                                    <w:rFonts w:ascii="Arial" w:hAnsi="Arial" w:cs="Arial"/>
                                    <w:color w:val="0D0D0D" w:themeColor="text1" w:themeTint="F2"/>
                                    <w:sz w:val="52"/>
                                    <w:szCs w:val="52"/>
                                  </w:rPr>
                                  <w:t xml:space="preserve">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93241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7pt;margin-top:325.95pt;width:406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" stroked="f">
                    <v:textbox style="mso-fit-shape-to-text:t">
                      <w:txbxContent>
                        <w:p w14:paraId="02E4BC6C" w14:textId="0B6F3B44" w:rsidR="00FC4067" w:rsidRPr="00FC4067" w:rsidRDefault="007F0E24" w:rsidP="00FC4067">
                          <w:pP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 xml:space="preserve">Meeting </w:t>
                          </w:r>
                          <w:r w:rsidR="00032027">
                            <w:rPr>
                              <w:rFonts w:ascii="Arial" w:hAnsi="Arial" w:cs="Arial"/>
                              <w:color w:val="0D0D0D" w:themeColor="text1" w:themeTint="F2"/>
                              <w:sz w:val="72"/>
                              <w:szCs w:val="72"/>
                            </w:rPr>
                            <w:t>3</w:t>
                          </w:r>
                        </w:p>
                        <w:p w14:paraId="1C1D4019" w14:textId="414E476C" w:rsidR="00FC4067" w:rsidRPr="00FC4067" w:rsidRDefault="005430C8" w:rsidP="00FC406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Friday </w:t>
                          </w:r>
                          <w:r w:rsidR="00032027"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>28 May</w:t>
                          </w:r>
                          <w:r>
                            <w:rPr>
                              <w:rFonts w:ascii="Arial" w:hAnsi="Arial" w:cs="Arial"/>
                              <w:color w:val="0D0D0D" w:themeColor="text1" w:themeTint="F2"/>
                              <w:sz w:val="52"/>
                              <w:szCs w:val="52"/>
                            </w:rPr>
                            <w:t xml:space="preserve"> 2021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B24186A" wp14:editId="72C9612A">
                    <wp:simplePos x="0" y="0"/>
                    <wp:positionH relativeFrom="column">
                      <wp:posOffset>-452755</wp:posOffset>
                    </wp:positionH>
                    <wp:positionV relativeFrom="paragraph">
                      <wp:posOffset>1776095</wp:posOffset>
                    </wp:positionV>
                    <wp:extent cx="5158740" cy="2667000"/>
                    <wp:effectExtent l="0" t="0" r="381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58740" cy="2667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D4A569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800000"/>
                                    <w:sz w:val="72"/>
                                    <w:szCs w:val="72"/>
                                  </w:rPr>
                                  <w:t>First Nations Arts and Cultures Panel</w:t>
                                </w:r>
                              </w:p>
                              <w:p w14:paraId="37DA7C7F" w14:textId="77777777" w:rsidR="00FC4067" w:rsidRPr="00FC4067" w:rsidRDefault="007F0E24">
                                <w:pP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800000"/>
                                    <w:sz w:val="96"/>
                                    <w:szCs w:val="96"/>
                                  </w:rPr>
                                  <w:t>Communique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24186A" id="_x0000_s1027" type="#_x0000_t202" style="position:absolute;margin-left:-35.65pt;margin-top:139.85pt;width:406.2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AOIwIAACU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" stroked="f">
                    <v:textbox>
                      <w:txbxContent>
                        <w:p w14:paraId="4BD4A569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olor w:val="800000"/>
                              <w:sz w:val="72"/>
                              <w:szCs w:val="72"/>
                            </w:rPr>
                            <w:t>First Nations Arts and Cultures Panel</w:t>
                          </w:r>
                        </w:p>
                        <w:p w14:paraId="37DA7C7F" w14:textId="77777777" w:rsidR="00FC4067" w:rsidRPr="00FC4067" w:rsidRDefault="007F0E24">
                          <w:pP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96"/>
                              <w:szCs w:val="96"/>
                            </w:rPr>
                            <w:t>Communique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C4067">
            <w:br w:type="page"/>
          </w:r>
        </w:p>
      </w:sdtContent>
    </w:sdt>
    <w:p w14:paraId="082B9E87" w14:textId="77777777" w:rsidR="00547C88" w:rsidRPr="003B3430" w:rsidRDefault="00547C88" w:rsidP="00547C88">
      <w:pPr>
        <w:pStyle w:val="Heading1"/>
        <w:spacing w:before="0" w:after="160"/>
        <w:rPr>
          <w:rFonts w:ascii="Arial" w:eastAsiaTheme="minorHAnsi" w:hAnsi="Arial" w:cstheme="minorBidi"/>
          <w:color w:val="auto"/>
          <w:sz w:val="40"/>
          <w:szCs w:val="40"/>
        </w:rPr>
      </w:pPr>
      <w:r w:rsidRPr="003B3430">
        <w:rPr>
          <w:rFonts w:ascii="Arial" w:eastAsiaTheme="minorHAnsi" w:hAnsi="Arial" w:cstheme="minorBidi"/>
          <w:color w:val="auto"/>
          <w:sz w:val="40"/>
          <w:szCs w:val="40"/>
        </w:rPr>
        <w:lastRenderedPageBreak/>
        <w:t xml:space="preserve">First Nations Arts and Cultures Panel </w:t>
      </w:r>
    </w:p>
    <w:p w14:paraId="0C6D5F29" w14:textId="77777777" w:rsidR="00547C88" w:rsidRPr="00063104" w:rsidRDefault="00547C88" w:rsidP="00547C88">
      <w:pPr>
        <w:spacing w:after="0"/>
        <w:rPr>
          <w:rFonts w:cstheme="minorHAnsi"/>
        </w:rPr>
      </w:pPr>
    </w:p>
    <w:p w14:paraId="5AE8719F" w14:textId="77777777" w:rsidR="00547C88" w:rsidRPr="00CA116D" w:rsidRDefault="00547C88" w:rsidP="00547C88">
      <w:pPr>
        <w:pStyle w:val="Heading2"/>
        <w:rPr>
          <w:rFonts w:asciiTheme="minorHAnsi" w:hAnsiTheme="minorHAnsi" w:cstheme="minorHAnsi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communiqué</w:t>
      </w:r>
    </w:p>
    <w:p w14:paraId="225BD6C7" w14:textId="1B2E83C1" w:rsidR="00547C88" w:rsidRPr="00D77E4E" w:rsidRDefault="00547C88" w:rsidP="00547C88">
      <w:pPr>
        <w:spacing w:after="0"/>
        <w:rPr>
          <w:rFonts w:cstheme="minorHAnsi"/>
        </w:rPr>
      </w:pPr>
      <w:r w:rsidRPr="00D77E4E">
        <w:rPr>
          <w:rFonts w:cstheme="minorHAnsi"/>
        </w:rPr>
        <w:t xml:space="preserve">The </w:t>
      </w:r>
      <w:r w:rsidR="00032027">
        <w:rPr>
          <w:rFonts w:cstheme="minorHAnsi"/>
        </w:rPr>
        <w:t xml:space="preserve">third </w:t>
      </w:r>
      <w:r w:rsidRPr="00D77E4E">
        <w:rPr>
          <w:rFonts w:cstheme="minorHAnsi"/>
        </w:rPr>
        <w:t xml:space="preserve">meeting of the First Nations Arts and Cultures Panel </w:t>
      </w:r>
      <w:r w:rsidR="008F7EFD">
        <w:rPr>
          <w:rFonts w:cstheme="minorHAnsi"/>
        </w:rPr>
        <w:t xml:space="preserve">(the Panel) </w:t>
      </w:r>
      <w:r w:rsidRPr="00D77E4E">
        <w:rPr>
          <w:rFonts w:cstheme="minorHAnsi"/>
        </w:rPr>
        <w:t xml:space="preserve">was held on </w:t>
      </w:r>
      <w:r w:rsidR="005D3F30" w:rsidRPr="00D77E4E">
        <w:rPr>
          <w:rFonts w:cstheme="minorHAnsi"/>
        </w:rPr>
        <w:t>Friday</w:t>
      </w:r>
      <w:r w:rsidRPr="00D77E4E">
        <w:rPr>
          <w:rFonts w:cstheme="minorHAnsi"/>
        </w:rPr>
        <w:t xml:space="preserve">, </w:t>
      </w:r>
      <w:r w:rsidR="00032027">
        <w:rPr>
          <w:rFonts w:cstheme="minorHAnsi"/>
        </w:rPr>
        <w:t>28</w:t>
      </w:r>
      <w:r w:rsidR="00C37FD4">
        <w:rPr>
          <w:rFonts w:cstheme="minorHAnsi"/>
        </w:rPr>
        <w:t> </w:t>
      </w:r>
      <w:r w:rsidR="00032027">
        <w:rPr>
          <w:rFonts w:cstheme="minorHAnsi"/>
        </w:rPr>
        <w:t>May</w:t>
      </w:r>
      <w:r w:rsidR="00F6193C">
        <w:rPr>
          <w:rFonts w:cstheme="minorHAnsi"/>
        </w:rPr>
        <w:t> </w:t>
      </w:r>
      <w:r w:rsidRPr="00D77E4E">
        <w:rPr>
          <w:rFonts w:cstheme="minorHAnsi"/>
        </w:rPr>
        <w:t xml:space="preserve">2021 at </w:t>
      </w:r>
      <w:r w:rsidR="005D3F30" w:rsidRPr="00D77E4E">
        <w:rPr>
          <w:rFonts w:cstheme="minorHAnsi"/>
        </w:rPr>
        <w:t>Arts Quee</w:t>
      </w:r>
      <w:r w:rsidR="00D77E4E">
        <w:rPr>
          <w:rFonts w:cstheme="minorHAnsi"/>
        </w:rPr>
        <w:t>nsland, George Street, Brisbane with some Panel Members joining the meeting via Microsoft Teams.</w:t>
      </w:r>
    </w:p>
    <w:p w14:paraId="384B46FE" w14:textId="77777777" w:rsidR="00547C88" w:rsidRPr="00D77E4E" w:rsidRDefault="00547C88" w:rsidP="00547C88">
      <w:pPr>
        <w:spacing w:after="0"/>
        <w:rPr>
          <w:rFonts w:cstheme="minorHAnsi"/>
        </w:rPr>
      </w:pPr>
    </w:p>
    <w:p w14:paraId="3AEF48AE" w14:textId="77777777" w:rsidR="00547C88" w:rsidRPr="00CA116D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6"/>
        </w:rPr>
      </w:pPr>
      <w:r w:rsidRPr="00CA116D">
        <w:rPr>
          <w:rFonts w:asciiTheme="minorHAnsi" w:eastAsiaTheme="minorHAnsi" w:hAnsiTheme="minorHAnsi" w:cstheme="minorHAnsi"/>
          <w:color w:val="auto"/>
          <w:sz w:val="26"/>
        </w:rPr>
        <w:t>Meeting summary</w:t>
      </w:r>
    </w:p>
    <w:p w14:paraId="08C3FCDA" w14:textId="28A18C7F" w:rsidR="00547C88" w:rsidRPr="00D77E4E" w:rsidRDefault="00A45FAC" w:rsidP="00D77E4E">
      <w:pPr>
        <w:spacing w:after="0" w:line="240" w:lineRule="auto"/>
        <w:rPr>
          <w:rFonts w:cstheme="minorHAnsi"/>
        </w:rPr>
      </w:pPr>
      <w:r>
        <w:rPr>
          <w:rFonts w:cstheme="minorHAnsi"/>
        </w:rPr>
        <w:t>At the meeting Panel m</w:t>
      </w:r>
      <w:r w:rsidR="00547C88" w:rsidRPr="00D77E4E">
        <w:rPr>
          <w:rFonts w:cstheme="minorHAnsi"/>
        </w:rPr>
        <w:t>embers:</w:t>
      </w:r>
    </w:p>
    <w:p w14:paraId="1A33524F" w14:textId="49EE14E3" w:rsidR="00781E0E" w:rsidRPr="00E06DAE" w:rsidRDefault="00781E0E" w:rsidP="00F6193C">
      <w:pPr>
        <w:pStyle w:val="ListParagraph"/>
        <w:numPr>
          <w:ilvl w:val="0"/>
          <w:numId w:val="14"/>
        </w:numPr>
        <w:spacing w:after="160"/>
        <w:contextualSpacing w:val="0"/>
        <w:rPr>
          <w:rFonts w:cstheme="minorHAnsi"/>
        </w:rPr>
      </w:pPr>
      <w:r w:rsidRPr="00E06DAE">
        <w:t>acknowledged the traditional custodians of the land in Brisbane and the other locations on which Panel Members were meeting</w:t>
      </w:r>
    </w:p>
    <w:p w14:paraId="786A4AD1" w14:textId="525CF142" w:rsidR="00781E0E" w:rsidRPr="00E06DAE" w:rsidRDefault="00F6193C" w:rsidP="00F6193C">
      <w:pPr>
        <w:pStyle w:val="ListParagraph"/>
        <w:numPr>
          <w:ilvl w:val="0"/>
          <w:numId w:val="14"/>
        </w:numPr>
        <w:spacing w:after="160"/>
        <w:contextualSpacing w:val="0"/>
        <w:rPr>
          <w:rFonts w:cstheme="minorHAnsi"/>
        </w:rPr>
      </w:pPr>
      <w:r w:rsidRPr="00E06DAE">
        <w:rPr>
          <w:rFonts w:cstheme="minorHAnsi"/>
        </w:rPr>
        <w:t>approved</w:t>
      </w:r>
      <w:r w:rsidR="00781E0E" w:rsidRPr="00E06DAE">
        <w:rPr>
          <w:rFonts w:cstheme="minorHAnsi"/>
        </w:rPr>
        <w:t xml:space="preserve"> the communique for the previous meeting (16 April 2021) and </w:t>
      </w:r>
      <w:r w:rsidRPr="00E06DAE">
        <w:rPr>
          <w:rFonts w:cstheme="minorHAnsi"/>
        </w:rPr>
        <w:t xml:space="preserve">its publication </w:t>
      </w:r>
      <w:r w:rsidR="00781E0E" w:rsidRPr="00E06DAE">
        <w:rPr>
          <w:rFonts w:cstheme="minorHAnsi"/>
        </w:rPr>
        <w:t xml:space="preserve">on the </w:t>
      </w:r>
      <w:r w:rsidRPr="00E06DAE">
        <w:rPr>
          <w:rFonts w:cstheme="minorHAnsi"/>
        </w:rPr>
        <w:t xml:space="preserve">Arts Queensland </w:t>
      </w:r>
      <w:r>
        <w:rPr>
          <w:rFonts w:cstheme="minorHAnsi"/>
        </w:rPr>
        <w:t>(</w:t>
      </w:r>
      <w:r w:rsidRPr="00E06DAE">
        <w:rPr>
          <w:rFonts w:cstheme="minorHAnsi"/>
        </w:rPr>
        <w:t>AQ)</w:t>
      </w:r>
      <w:r w:rsidR="00781E0E" w:rsidRPr="00E06DAE">
        <w:rPr>
          <w:rFonts w:cstheme="minorHAnsi"/>
        </w:rPr>
        <w:t xml:space="preserve"> website</w:t>
      </w:r>
    </w:p>
    <w:p w14:paraId="1DF8D31F" w14:textId="063724B9" w:rsidR="00CB70EE" w:rsidRPr="001152EF" w:rsidRDefault="001D4C17" w:rsidP="00CB70EE">
      <w:pPr>
        <w:pStyle w:val="ListParagraph"/>
        <w:numPr>
          <w:ilvl w:val="0"/>
          <w:numId w:val="14"/>
        </w:numPr>
        <w:spacing w:after="160"/>
        <w:contextualSpacing w:val="0"/>
        <w:rPr>
          <w:bCs/>
        </w:rPr>
      </w:pPr>
      <w:r w:rsidRPr="00E06DAE">
        <w:rPr>
          <w:rFonts w:cstheme="minorHAnsi"/>
        </w:rPr>
        <w:t>d</w:t>
      </w:r>
      <w:r w:rsidR="00CB70EE" w:rsidRPr="00E06DAE">
        <w:rPr>
          <w:rFonts w:cstheme="minorHAnsi"/>
        </w:rPr>
        <w:t xml:space="preserve">iscussed Panel governance arrangements including supporting Panel correspondence from the sector and community through the use of the </w:t>
      </w:r>
      <w:hyperlink r:id="rId8" w:history="1">
        <w:r w:rsidR="00CB70EE" w:rsidRPr="00E06DAE">
          <w:rPr>
            <w:rStyle w:val="Hyperlink"/>
            <w:rFonts w:cstheme="minorHAnsi"/>
            <w:color w:val="auto"/>
          </w:rPr>
          <w:t>FNACpanel@arts.qld.gov.au</w:t>
        </w:r>
      </w:hyperlink>
      <w:r w:rsidR="00CB70EE" w:rsidRPr="00E06DAE">
        <w:rPr>
          <w:rFonts w:cstheme="minorHAnsi"/>
        </w:rPr>
        <w:t xml:space="preserve"> email address and </w:t>
      </w:r>
      <w:r w:rsidR="00CB70EE" w:rsidRPr="001152EF">
        <w:rPr>
          <w:bCs/>
        </w:rPr>
        <w:t xml:space="preserve">also management of conflicts of interest  </w:t>
      </w:r>
    </w:p>
    <w:p w14:paraId="5AA1B259" w14:textId="3E7273BB" w:rsidR="00BE00CC" w:rsidRPr="001152EF" w:rsidRDefault="00F978EE" w:rsidP="00BE00CC">
      <w:pPr>
        <w:pStyle w:val="ListParagraph"/>
        <w:numPr>
          <w:ilvl w:val="0"/>
          <w:numId w:val="14"/>
        </w:numPr>
        <w:spacing w:after="160"/>
        <w:contextualSpacing w:val="0"/>
        <w:rPr>
          <w:bCs/>
        </w:rPr>
      </w:pPr>
      <w:r w:rsidRPr="001152EF">
        <w:rPr>
          <w:bCs/>
        </w:rPr>
        <w:t xml:space="preserve">highlighted the </w:t>
      </w:r>
      <w:r w:rsidR="00CE0042" w:rsidRPr="001152EF">
        <w:rPr>
          <w:bCs/>
        </w:rPr>
        <w:t xml:space="preserve">importance of </w:t>
      </w:r>
      <w:r w:rsidRPr="001152EF">
        <w:rPr>
          <w:bCs/>
        </w:rPr>
        <w:t xml:space="preserve">the development of First Nations cultural engagement protocol and cultural safety frameworks to deliver improved outcomes across Queensland’s arts sector, and agreed the next key </w:t>
      </w:r>
      <w:r w:rsidR="00CE0042" w:rsidRPr="001152EF">
        <w:rPr>
          <w:bCs/>
        </w:rPr>
        <w:t>step wou</w:t>
      </w:r>
      <w:r w:rsidRPr="001152EF">
        <w:rPr>
          <w:bCs/>
        </w:rPr>
        <w:t xml:space="preserve">ld be a </w:t>
      </w:r>
      <w:r w:rsidR="00CE0042" w:rsidRPr="001152EF">
        <w:rPr>
          <w:bCs/>
        </w:rPr>
        <w:t>workshop</w:t>
      </w:r>
      <w:r w:rsidRPr="001152EF">
        <w:rPr>
          <w:bCs/>
        </w:rPr>
        <w:t xml:space="preserve"> at the June meeting to progress development</w:t>
      </w:r>
      <w:r w:rsidR="00BE00CC" w:rsidRPr="001152EF">
        <w:rPr>
          <w:bCs/>
        </w:rPr>
        <w:t>.</w:t>
      </w:r>
    </w:p>
    <w:p w14:paraId="6AAF9DA2" w14:textId="41418CDF" w:rsidR="00FA04F6" w:rsidRPr="001152EF" w:rsidRDefault="00F978EE" w:rsidP="00F6193C">
      <w:pPr>
        <w:pStyle w:val="ListParagraph"/>
        <w:numPr>
          <w:ilvl w:val="0"/>
          <w:numId w:val="14"/>
        </w:numPr>
        <w:spacing w:after="160"/>
        <w:contextualSpacing w:val="0"/>
        <w:rPr>
          <w:bCs/>
        </w:rPr>
      </w:pPr>
      <w:r w:rsidRPr="001152EF">
        <w:rPr>
          <w:bCs/>
        </w:rPr>
        <w:t>s</w:t>
      </w:r>
      <w:r w:rsidR="00CE0042" w:rsidRPr="001152EF">
        <w:rPr>
          <w:bCs/>
        </w:rPr>
        <w:t>upported A</w:t>
      </w:r>
      <w:r w:rsidRPr="001152EF">
        <w:rPr>
          <w:bCs/>
        </w:rPr>
        <w:t xml:space="preserve">Q’s approach to a model for multi-year funding to support emerging First Nations organisations, </w:t>
      </w:r>
      <w:r w:rsidR="00CE0042" w:rsidRPr="001152EF">
        <w:rPr>
          <w:bCs/>
        </w:rPr>
        <w:t xml:space="preserve">however </w:t>
      </w:r>
      <w:r w:rsidRPr="001152EF">
        <w:rPr>
          <w:bCs/>
        </w:rPr>
        <w:t xml:space="preserve">emphasised the </w:t>
      </w:r>
      <w:r w:rsidR="00CE0042" w:rsidRPr="001152EF">
        <w:rPr>
          <w:bCs/>
        </w:rPr>
        <w:t>need to have a stra</w:t>
      </w:r>
      <w:r w:rsidRPr="001152EF">
        <w:rPr>
          <w:bCs/>
        </w:rPr>
        <w:t xml:space="preserve">tegic </w:t>
      </w:r>
      <w:r w:rsidR="00CE0042" w:rsidRPr="001152EF">
        <w:rPr>
          <w:bCs/>
        </w:rPr>
        <w:t xml:space="preserve">approach </w:t>
      </w:r>
      <w:r w:rsidRPr="001152EF">
        <w:rPr>
          <w:bCs/>
        </w:rPr>
        <w:t xml:space="preserve">including a business needs </w:t>
      </w:r>
      <w:r w:rsidR="001152EF" w:rsidRPr="001152EF">
        <w:rPr>
          <w:bCs/>
        </w:rPr>
        <w:t>analysis</w:t>
      </w:r>
      <w:r w:rsidRPr="001152EF">
        <w:rPr>
          <w:bCs/>
        </w:rPr>
        <w:t xml:space="preserve"> </w:t>
      </w:r>
      <w:r w:rsidR="00A42ED2">
        <w:rPr>
          <w:bCs/>
        </w:rPr>
        <w:t>t</w:t>
      </w:r>
      <w:r w:rsidR="00CE0042" w:rsidRPr="001152EF">
        <w:rPr>
          <w:bCs/>
        </w:rPr>
        <w:t xml:space="preserve">o ensure </w:t>
      </w:r>
      <w:r w:rsidRPr="001152EF">
        <w:rPr>
          <w:bCs/>
        </w:rPr>
        <w:t xml:space="preserve">specific </w:t>
      </w:r>
      <w:r w:rsidR="00CE0042" w:rsidRPr="001152EF">
        <w:rPr>
          <w:bCs/>
        </w:rPr>
        <w:t>business</w:t>
      </w:r>
      <w:r w:rsidR="001152EF" w:rsidRPr="001152EF">
        <w:rPr>
          <w:bCs/>
        </w:rPr>
        <w:t xml:space="preserve"> and capacity building are supported.</w:t>
      </w:r>
      <w:r w:rsidR="00CE0042" w:rsidRPr="001152EF">
        <w:rPr>
          <w:bCs/>
        </w:rPr>
        <w:t xml:space="preserve"> </w:t>
      </w:r>
    </w:p>
    <w:p w14:paraId="3A6749B6" w14:textId="70237F10" w:rsidR="00FA04F6" w:rsidRPr="00CE0042" w:rsidRDefault="00A45FAC" w:rsidP="00CE0042">
      <w:pPr>
        <w:pStyle w:val="ListParagraph"/>
        <w:numPr>
          <w:ilvl w:val="0"/>
          <w:numId w:val="14"/>
        </w:numPr>
        <w:spacing w:after="160"/>
        <w:contextualSpacing w:val="0"/>
        <w:rPr>
          <w:bCs/>
        </w:rPr>
      </w:pPr>
      <w:r w:rsidRPr="001152EF">
        <w:rPr>
          <w:bCs/>
        </w:rPr>
        <w:t xml:space="preserve">considered </w:t>
      </w:r>
      <w:r w:rsidR="00CE0042" w:rsidRPr="001152EF">
        <w:rPr>
          <w:bCs/>
        </w:rPr>
        <w:t xml:space="preserve">grant </w:t>
      </w:r>
      <w:r w:rsidR="001152EF" w:rsidRPr="001152EF">
        <w:rPr>
          <w:bCs/>
        </w:rPr>
        <w:t>assessment</w:t>
      </w:r>
      <w:r w:rsidR="00CE0042" w:rsidRPr="001152EF">
        <w:rPr>
          <w:bCs/>
        </w:rPr>
        <w:t xml:space="preserve"> models </w:t>
      </w:r>
      <w:r w:rsidR="001152EF" w:rsidRPr="001152EF">
        <w:rPr>
          <w:bCs/>
        </w:rPr>
        <w:t>utilised</w:t>
      </w:r>
      <w:r w:rsidR="00CE0042" w:rsidRPr="001152EF">
        <w:rPr>
          <w:bCs/>
        </w:rPr>
        <w:t xml:space="preserve"> by AQ, and asked for a furt</w:t>
      </w:r>
      <w:r w:rsidR="001152EF" w:rsidRPr="001152EF">
        <w:rPr>
          <w:bCs/>
        </w:rPr>
        <w:t xml:space="preserve">her paper for the July meeting with a focus on </w:t>
      </w:r>
      <w:r w:rsidR="00CE0042" w:rsidRPr="001152EF">
        <w:rPr>
          <w:bCs/>
        </w:rPr>
        <w:t xml:space="preserve">growing </w:t>
      </w:r>
      <w:r w:rsidR="001152EF" w:rsidRPr="001152EF">
        <w:rPr>
          <w:bCs/>
        </w:rPr>
        <w:t xml:space="preserve">the First Nations </w:t>
      </w:r>
      <w:r w:rsidR="00CE0042" w:rsidRPr="001152EF">
        <w:rPr>
          <w:bCs/>
        </w:rPr>
        <w:t>assessor pool</w:t>
      </w:r>
      <w:r w:rsidR="009E637E" w:rsidRPr="00CE0042">
        <w:rPr>
          <w:bCs/>
        </w:rPr>
        <w:t>.</w:t>
      </w:r>
    </w:p>
    <w:p w14:paraId="409D34A1" w14:textId="0C986028" w:rsidR="00FA04F6" w:rsidRPr="009E637E" w:rsidRDefault="00FA04F6" w:rsidP="00BE00CC">
      <w:pPr>
        <w:pStyle w:val="ListParagraph"/>
        <w:numPr>
          <w:ilvl w:val="0"/>
          <w:numId w:val="14"/>
        </w:numPr>
        <w:spacing w:after="160"/>
        <w:contextualSpacing w:val="0"/>
        <w:rPr>
          <w:bCs/>
        </w:rPr>
      </w:pPr>
      <w:r w:rsidRPr="00E06DAE">
        <w:rPr>
          <w:bCs/>
        </w:rPr>
        <w:t>noted</w:t>
      </w:r>
      <w:r w:rsidR="009E637E" w:rsidRPr="00E06DAE">
        <w:rPr>
          <w:bCs/>
        </w:rPr>
        <w:t xml:space="preserve"> the </w:t>
      </w:r>
      <w:r w:rsidRPr="00E06DAE">
        <w:rPr>
          <w:bCs/>
        </w:rPr>
        <w:t>changes made to the Organisation</w:t>
      </w:r>
      <w:r w:rsidR="009E637E" w:rsidRPr="00E06DAE">
        <w:rPr>
          <w:bCs/>
        </w:rPr>
        <w:t>s</w:t>
      </w:r>
      <w:r w:rsidRPr="00E06DAE">
        <w:rPr>
          <w:bCs/>
        </w:rPr>
        <w:t xml:space="preserve"> Fund 2022-2026 guidelines</w:t>
      </w:r>
      <w:r w:rsidR="00A45FAC" w:rsidRPr="00E06DAE">
        <w:rPr>
          <w:bCs/>
        </w:rPr>
        <w:t xml:space="preserve"> </w:t>
      </w:r>
      <w:r w:rsidR="009E637E" w:rsidRPr="00E06DAE">
        <w:rPr>
          <w:bCs/>
        </w:rPr>
        <w:t xml:space="preserve">that articulate AQ’s requirement for </w:t>
      </w:r>
      <w:r w:rsidR="00BE00CC" w:rsidRPr="00E06DAE">
        <w:rPr>
          <w:bCs/>
        </w:rPr>
        <w:t xml:space="preserve">appropriate cultural protocols and permissions </w:t>
      </w:r>
      <w:r w:rsidR="00BE00CC" w:rsidRPr="009E637E">
        <w:rPr>
          <w:bCs/>
        </w:rPr>
        <w:t>for activities that engage Aboriginal people and Torres Strait Islander people</w:t>
      </w:r>
      <w:r w:rsidR="009E637E" w:rsidRPr="009E637E">
        <w:rPr>
          <w:bCs/>
        </w:rPr>
        <w:t xml:space="preserve"> through this fund</w:t>
      </w:r>
      <w:r w:rsidR="00C27757" w:rsidRPr="009E637E">
        <w:rPr>
          <w:bCs/>
        </w:rPr>
        <w:t>,</w:t>
      </w:r>
      <w:r w:rsidRPr="009E637E">
        <w:rPr>
          <w:bCs/>
        </w:rPr>
        <w:t xml:space="preserve"> following </w:t>
      </w:r>
      <w:r w:rsidR="00CB70EE" w:rsidRPr="009E637E">
        <w:rPr>
          <w:bCs/>
        </w:rPr>
        <w:t>Panel feedback.</w:t>
      </w:r>
    </w:p>
    <w:p w14:paraId="41E8B1E1" w14:textId="7F887A18" w:rsidR="00CB70EE" w:rsidRPr="009E637E" w:rsidRDefault="00035DF8" w:rsidP="00F6193C">
      <w:pPr>
        <w:pStyle w:val="ListParagraph"/>
        <w:numPr>
          <w:ilvl w:val="0"/>
          <w:numId w:val="14"/>
        </w:numPr>
        <w:spacing w:after="160"/>
        <w:contextualSpacing w:val="0"/>
        <w:rPr>
          <w:bCs/>
        </w:rPr>
      </w:pPr>
      <w:r w:rsidRPr="009E637E">
        <w:rPr>
          <w:bCs/>
        </w:rPr>
        <w:t>n</w:t>
      </w:r>
      <w:r w:rsidR="00CB70EE" w:rsidRPr="009E637E">
        <w:rPr>
          <w:bCs/>
        </w:rPr>
        <w:t>oted a presentation on where AQ investment is supporting First Nations outcomes across</w:t>
      </w:r>
      <w:r w:rsidR="009E637E" w:rsidRPr="009E637E">
        <w:rPr>
          <w:bCs/>
        </w:rPr>
        <w:t xml:space="preserve"> the</w:t>
      </w:r>
      <w:r w:rsidR="00CB70EE" w:rsidRPr="009E637E">
        <w:rPr>
          <w:bCs/>
        </w:rPr>
        <w:t xml:space="preserve"> </w:t>
      </w:r>
      <w:r w:rsidR="00E06DAE">
        <w:rPr>
          <w:bCs/>
        </w:rPr>
        <w:t xml:space="preserve">agency’s </w:t>
      </w:r>
      <w:r w:rsidR="00CB70EE" w:rsidRPr="009E637E">
        <w:rPr>
          <w:bCs/>
        </w:rPr>
        <w:t xml:space="preserve">suite of programs and investments, </w:t>
      </w:r>
      <w:r w:rsidR="00CB70EE" w:rsidRPr="009E637E">
        <w:rPr>
          <w:bCs/>
        </w:rPr>
        <w:lastRenderedPageBreak/>
        <w:t>and discussed opportunities to enhance AQ process</w:t>
      </w:r>
      <w:r w:rsidR="009E637E" w:rsidRPr="009E637E">
        <w:rPr>
          <w:bCs/>
        </w:rPr>
        <w:t>es</w:t>
      </w:r>
      <w:r w:rsidR="00CB70EE" w:rsidRPr="009E637E">
        <w:rPr>
          <w:bCs/>
        </w:rPr>
        <w:t xml:space="preserve"> to </w:t>
      </w:r>
      <w:r w:rsidRPr="009E637E">
        <w:rPr>
          <w:bCs/>
        </w:rPr>
        <w:t xml:space="preserve">support First Nations artists and organisation to access funding </w:t>
      </w:r>
    </w:p>
    <w:p w14:paraId="749D7B26" w14:textId="403076E2" w:rsidR="00FA04F6" w:rsidRPr="00A429F9" w:rsidRDefault="001B0018" w:rsidP="001B0018">
      <w:pPr>
        <w:pStyle w:val="ListParagraph"/>
        <w:numPr>
          <w:ilvl w:val="0"/>
          <w:numId w:val="14"/>
        </w:numPr>
        <w:spacing w:after="160"/>
        <w:contextualSpacing w:val="0"/>
        <w:rPr>
          <w:bCs/>
        </w:rPr>
      </w:pPr>
      <w:r w:rsidRPr="00A429F9">
        <w:rPr>
          <w:bCs/>
        </w:rPr>
        <w:t xml:space="preserve">agreed the Panel will work with AQ in the development of the draft for the </w:t>
      </w:r>
      <w:r w:rsidR="00AB0FA3">
        <w:rPr>
          <w:bCs/>
        </w:rPr>
        <w:t xml:space="preserve">second </w:t>
      </w:r>
      <w:r w:rsidRPr="00A429F9">
        <w:rPr>
          <w:bCs/>
        </w:rPr>
        <w:t xml:space="preserve">action plan of </w:t>
      </w:r>
      <w:r w:rsidRPr="00A429F9">
        <w:rPr>
          <w:bCs/>
          <w:i/>
        </w:rPr>
        <w:t>Creative Together 2020-2030: A 10-Year Roadmap for arts, culture and creativity in Queensland</w:t>
      </w:r>
    </w:p>
    <w:p w14:paraId="7B3DBC4E" w14:textId="7E78AD18" w:rsidR="00547C88" w:rsidRPr="005B5264" w:rsidRDefault="005B5264" w:rsidP="00F6193C">
      <w:pPr>
        <w:rPr>
          <w:rFonts w:cstheme="minorHAnsi"/>
        </w:rPr>
      </w:pPr>
      <w:r w:rsidRPr="00A429F9">
        <w:rPr>
          <w:rFonts w:cstheme="minorHAnsi"/>
        </w:rPr>
        <w:t>T</w:t>
      </w:r>
      <w:r w:rsidR="00547C88" w:rsidRPr="00A429F9">
        <w:rPr>
          <w:rFonts w:cstheme="minorHAnsi"/>
        </w:rPr>
        <w:t>he next</w:t>
      </w:r>
      <w:r w:rsidR="00781E0E" w:rsidRPr="00A429F9">
        <w:rPr>
          <w:rFonts w:cstheme="minorHAnsi"/>
        </w:rPr>
        <w:t xml:space="preserve"> </w:t>
      </w:r>
      <w:r w:rsidR="00FA04F6" w:rsidRPr="00A429F9">
        <w:rPr>
          <w:rFonts w:cstheme="minorHAnsi"/>
        </w:rPr>
        <w:t>two</w:t>
      </w:r>
      <w:r w:rsidR="00D77E4E" w:rsidRPr="00A429F9">
        <w:rPr>
          <w:rFonts w:cstheme="minorHAnsi"/>
        </w:rPr>
        <w:t xml:space="preserve"> </w:t>
      </w:r>
      <w:r w:rsidR="00547C88" w:rsidRPr="00A429F9">
        <w:rPr>
          <w:rFonts w:cstheme="minorHAnsi"/>
        </w:rPr>
        <w:t>Panel me</w:t>
      </w:r>
      <w:r w:rsidR="005430C8" w:rsidRPr="00A429F9">
        <w:rPr>
          <w:rFonts w:cstheme="minorHAnsi"/>
        </w:rPr>
        <w:t>eting</w:t>
      </w:r>
      <w:r w:rsidR="00781E0E" w:rsidRPr="00A429F9">
        <w:rPr>
          <w:rFonts w:cstheme="minorHAnsi"/>
        </w:rPr>
        <w:t>s</w:t>
      </w:r>
      <w:r w:rsidRPr="00A429F9">
        <w:rPr>
          <w:rFonts w:cstheme="minorHAnsi"/>
        </w:rPr>
        <w:t xml:space="preserve"> will be </w:t>
      </w:r>
      <w:r w:rsidR="00547C88" w:rsidRPr="00A429F9">
        <w:rPr>
          <w:rFonts w:cstheme="minorHAnsi"/>
        </w:rPr>
        <w:t xml:space="preserve">held </w:t>
      </w:r>
      <w:r w:rsidRPr="00A429F9">
        <w:rPr>
          <w:rFonts w:cstheme="minorHAnsi"/>
        </w:rPr>
        <w:t xml:space="preserve">on </w:t>
      </w:r>
      <w:r w:rsidR="00032027" w:rsidRPr="00A429F9">
        <w:rPr>
          <w:rFonts w:cstheme="minorHAnsi"/>
        </w:rPr>
        <w:t xml:space="preserve">Friday, </w:t>
      </w:r>
      <w:r w:rsidR="00FA04F6" w:rsidRPr="00A429F9">
        <w:rPr>
          <w:rFonts w:cstheme="minorHAnsi"/>
        </w:rPr>
        <w:t xml:space="preserve">18 June 2021 and </w:t>
      </w:r>
      <w:r w:rsidR="00781E0E" w:rsidRPr="00A429F9">
        <w:rPr>
          <w:rFonts w:cstheme="minorHAnsi"/>
        </w:rPr>
        <w:t>Friday, 30 July 2021</w:t>
      </w:r>
      <w:r w:rsidR="00FA04F6" w:rsidRPr="00A429F9">
        <w:rPr>
          <w:rFonts w:cstheme="minorHAnsi"/>
        </w:rPr>
        <w:t>.</w:t>
      </w:r>
    </w:p>
    <w:p w14:paraId="69F9F72F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358CABC1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70A5D13E" w14:textId="77777777" w:rsidR="005D3F30" w:rsidRDefault="005D3F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593854" w14:textId="77777777" w:rsidR="005D3F30" w:rsidRDefault="005D3F30" w:rsidP="00547C88">
      <w:pPr>
        <w:spacing w:after="0"/>
        <w:rPr>
          <w:rFonts w:ascii="Arial" w:hAnsi="Arial" w:cs="Arial"/>
        </w:rPr>
      </w:pPr>
    </w:p>
    <w:p w14:paraId="0DD2AB49" w14:textId="77777777" w:rsidR="00547C88" w:rsidRPr="00547C88" w:rsidRDefault="00547C88" w:rsidP="00547C88">
      <w:pPr>
        <w:pStyle w:val="Heading2"/>
        <w:rPr>
          <w:rFonts w:asciiTheme="minorHAnsi" w:eastAsiaTheme="minorHAnsi" w:hAnsiTheme="minorHAnsi" w:cstheme="minorHAnsi"/>
          <w:color w:val="auto"/>
          <w:sz w:val="28"/>
        </w:rPr>
      </w:pPr>
      <w:r w:rsidRPr="00547C88">
        <w:rPr>
          <w:rFonts w:asciiTheme="minorHAnsi" w:eastAsiaTheme="minorHAnsi" w:hAnsiTheme="minorHAnsi" w:cstheme="minorHAnsi"/>
          <w:color w:val="auto"/>
          <w:sz w:val="28"/>
        </w:rPr>
        <w:t>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47C88" w:rsidRPr="00547C88" w14:paraId="09B3DB8E" w14:textId="77777777" w:rsidTr="00B6363D">
        <w:tc>
          <w:tcPr>
            <w:tcW w:w="4106" w:type="dxa"/>
          </w:tcPr>
          <w:p w14:paraId="6601CEE8" w14:textId="77777777" w:rsidR="00547C88" w:rsidRPr="00547C88" w:rsidRDefault="00547C88" w:rsidP="00032027">
            <w:pPr>
              <w:spacing w:after="120"/>
              <w:rPr>
                <w:rFonts w:cstheme="minorHAnsi"/>
                <w:b/>
                <w:sz w:val="24"/>
                <w:szCs w:val="22"/>
              </w:rPr>
            </w:pPr>
            <w:r w:rsidRPr="00547C88">
              <w:rPr>
                <w:rFonts w:cstheme="minorHAnsi"/>
                <w:b/>
                <w:sz w:val="24"/>
                <w:szCs w:val="22"/>
              </w:rPr>
              <w:t>Panel members</w:t>
            </w:r>
          </w:p>
          <w:p w14:paraId="6E6B8DBE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Georgina Richters (Chair)</w:t>
            </w:r>
          </w:p>
          <w:p w14:paraId="2F29AEB5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Dr Bianca Beetson</w:t>
            </w:r>
          </w:p>
          <w:p w14:paraId="6D2012D1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Yolande Brown </w:t>
            </w:r>
          </w:p>
          <w:p w14:paraId="58064D5A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Julie-Ann Lambourne </w:t>
            </w:r>
          </w:p>
          <w:p w14:paraId="150B2EE2" w14:textId="6B10E332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Robert McLellan </w:t>
            </w:r>
          </w:p>
          <w:p w14:paraId="6F13A09A" w14:textId="77777777" w:rsidR="00032027" w:rsidRPr="00032027" w:rsidRDefault="00032027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Stephanie Parkin </w:t>
            </w:r>
          </w:p>
          <w:p w14:paraId="6912615A" w14:textId="77777777" w:rsidR="00547C88" w:rsidRPr="00032027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Yvette Walker </w:t>
            </w:r>
          </w:p>
          <w:p w14:paraId="012D9DF4" w14:textId="77777777" w:rsidR="005D3F30" w:rsidRPr="00032027" w:rsidRDefault="005D3F30" w:rsidP="00B6363D">
            <w:pPr>
              <w:spacing w:after="40"/>
              <w:rPr>
                <w:rFonts w:cstheme="minorHAnsi"/>
                <w:b/>
                <w:sz w:val="22"/>
                <w:szCs w:val="22"/>
              </w:rPr>
            </w:pPr>
            <w:r w:rsidRPr="00032027">
              <w:rPr>
                <w:rFonts w:cstheme="minorHAnsi"/>
                <w:b/>
                <w:sz w:val="22"/>
                <w:szCs w:val="22"/>
              </w:rPr>
              <w:t>Apologies</w:t>
            </w:r>
          </w:p>
          <w:p w14:paraId="505E44FD" w14:textId="77777777" w:rsidR="00781E0E" w:rsidRDefault="00781E0E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 xml:space="preserve">Dr Fiona Foley </w:t>
            </w:r>
          </w:p>
          <w:p w14:paraId="08FC073F" w14:textId="5C8E0B8F" w:rsidR="005D3F30" w:rsidRPr="00032027" w:rsidRDefault="00032027" w:rsidP="00032027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sz w:val="22"/>
                <w:szCs w:val="22"/>
              </w:rPr>
            </w:pPr>
            <w:r w:rsidRPr="00032027">
              <w:rPr>
                <w:rFonts w:cstheme="minorHAnsi"/>
                <w:sz w:val="22"/>
                <w:szCs w:val="22"/>
              </w:rPr>
              <w:t>Emma Loban</w:t>
            </w:r>
            <w:r w:rsidRPr="00D77E4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10" w:type="dxa"/>
          </w:tcPr>
          <w:p w14:paraId="47AEBCED" w14:textId="77777777" w:rsidR="005D3F30" w:rsidRPr="00032027" w:rsidRDefault="00547C88" w:rsidP="005D3F30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032027">
              <w:rPr>
                <w:rFonts w:cstheme="minorHAnsi"/>
                <w:b/>
                <w:sz w:val="24"/>
                <w:szCs w:val="24"/>
              </w:rPr>
              <w:t>Observers</w:t>
            </w:r>
          </w:p>
          <w:p w14:paraId="15929D0D" w14:textId="77777777" w:rsidR="005D3F30" w:rsidRPr="00032027" w:rsidRDefault="005D3F30" w:rsidP="005D3F30">
            <w:pPr>
              <w:rPr>
                <w:rFonts w:cstheme="minorHAnsi"/>
                <w:b/>
                <w:sz w:val="22"/>
                <w:szCs w:val="22"/>
              </w:rPr>
            </w:pPr>
            <w:r w:rsidRPr="00032027">
              <w:rPr>
                <w:rFonts w:cstheme="minorHAnsi"/>
                <w:b/>
                <w:sz w:val="22"/>
                <w:szCs w:val="22"/>
              </w:rPr>
              <w:t>Arts Queensland</w:t>
            </w:r>
          </w:p>
          <w:p w14:paraId="349FC41B" w14:textId="77777777" w:rsidR="00547C88" w:rsidRPr="00B6363D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Kirsten H</w:t>
            </w:r>
            <w:r w:rsidR="005D3F30" w:rsidRPr="00B6363D">
              <w:rPr>
                <w:rFonts w:cstheme="minorHAnsi"/>
                <w:sz w:val="22"/>
                <w:szCs w:val="22"/>
              </w:rPr>
              <w:t>erring, Deputy Director General</w:t>
            </w:r>
            <w:r w:rsidRPr="00B6363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15FE82C" w14:textId="6AEE30C5" w:rsidR="00547C88" w:rsidRPr="00B6363D" w:rsidRDefault="00547C88" w:rsidP="0011082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Linda Dreghorn, Manager, Business Performance – Governance, (Secretariat)</w:t>
            </w:r>
          </w:p>
          <w:p w14:paraId="4ED1F70B" w14:textId="47FCE2B0" w:rsidR="00032027" w:rsidRPr="00B6363D" w:rsidRDefault="00032027" w:rsidP="0011082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Tania Hall, Executive Director, Arts Policy and Programs</w:t>
            </w:r>
          </w:p>
          <w:p w14:paraId="1F9BCEED" w14:textId="671FE934" w:rsidR="00032027" w:rsidRPr="00B6363D" w:rsidRDefault="00032027" w:rsidP="0011082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Susan Richer, Director, Development</w:t>
            </w:r>
          </w:p>
          <w:p w14:paraId="4E426514" w14:textId="7E7FEFF7" w:rsidR="00032027" w:rsidRPr="00B6363D" w:rsidRDefault="00032027" w:rsidP="0011082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Celia Reordan, Director, Strategic Policy and Engagement</w:t>
            </w:r>
          </w:p>
          <w:p w14:paraId="0D25C94D" w14:textId="69D5EFFA" w:rsidR="00781E0E" w:rsidRPr="00B6363D" w:rsidRDefault="00781E0E" w:rsidP="0011082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B6363D">
              <w:rPr>
                <w:rFonts w:cstheme="minorHAnsi"/>
                <w:sz w:val="22"/>
                <w:szCs w:val="22"/>
              </w:rPr>
              <w:t>Danelle Nicol, Development Manager, Backing Indigenous Arts</w:t>
            </w:r>
            <w:r w:rsidR="009E637E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92774AD" w14:textId="14586C06" w:rsidR="00547C88" w:rsidRPr="00B6363D" w:rsidRDefault="00781E0E" w:rsidP="0003202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B6363D">
              <w:rPr>
                <w:sz w:val="22"/>
                <w:szCs w:val="22"/>
              </w:rPr>
              <w:t>Lily Carroll, First Nations Graduate</w:t>
            </w:r>
          </w:p>
        </w:tc>
      </w:tr>
    </w:tbl>
    <w:p w14:paraId="53FA8DBB" w14:textId="77777777" w:rsidR="00547C88" w:rsidRPr="00547C88" w:rsidRDefault="00547C88" w:rsidP="00547C88">
      <w:pPr>
        <w:spacing w:after="0"/>
        <w:rPr>
          <w:rFonts w:cstheme="minorHAnsi"/>
          <w:sz w:val="24"/>
        </w:rPr>
      </w:pPr>
    </w:p>
    <w:p w14:paraId="4E1C3326" w14:textId="77777777" w:rsidR="00547C88" w:rsidRPr="00D77E4E" w:rsidRDefault="00547C88" w:rsidP="00547C88">
      <w:pPr>
        <w:spacing w:after="0"/>
        <w:rPr>
          <w:rFonts w:ascii="Arial" w:hAnsi="Arial" w:cs="Arial"/>
        </w:rPr>
      </w:pPr>
      <w:r w:rsidRPr="00D77E4E">
        <w:rPr>
          <w:rFonts w:cstheme="minorHAnsi"/>
        </w:rPr>
        <w:t xml:space="preserve">Further details about the Panel and members can be found on the </w:t>
      </w:r>
      <w:hyperlink r:id="rId9" w:history="1">
        <w:r w:rsidRPr="00D77E4E">
          <w:rPr>
            <w:rStyle w:val="Hyperlink"/>
            <w:rFonts w:cstheme="minorHAnsi"/>
          </w:rPr>
          <w:t>Arts Queensland website</w:t>
        </w:r>
      </w:hyperlink>
    </w:p>
    <w:p w14:paraId="2AE30815" w14:textId="77777777" w:rsidR="00547C88" w:rsidRPr="00D77E4E" w:rsidRDefault="00547C88" w:rsidP="00547C88">
      <w:pPr>
        <w:spacing w:after="0"/>
        <w:rPr>
          <w:rFonts w:ascii="Arial" w:hAnsi="Arial" w:cs="Arial"/>
        </w:rPr>
      </w:pPr>
    </w:p>
    <w:p w14:paraId="62B9C7D9" w14:textId="381A66E4" w:rsidR="00547C88" w:rsidRPr="00D77E4E" w:rsidRDefault="00547C88" w:rsidP="00547C88">
      <w:pPr>
        <w:spacing w:after="0"/>
      </w:pPr>
      <w:r w:rsidRPr="00D77E4E">
        <w:t xml:space="preserve">Any inquiries can be directed to Arts Queensland </w:t>
      </w:r>
      <w:hyperlink r:id="rId10" w:history="1">
        <w:r w:rsidR="00D370FE" w:rsidRPr="00D370FE">
          <w:rPr>
            <w:rStyle w:val="Hyperlink"/>
          </w:rPr>
          <w:t>mailto:FNACPanel@arts.qld.gov.au</w:t>
        </w:r>
      </w:hyperlink>
    </w:p>
    <w:p w14:paraId="0C34AED8" w14:textId="77777777" w:rsidR="00547C88" w:rsidRPr="00D77E4E" w:rsidRDefault="00547C88" w:rsidP="00547C88">
      <w:pPr>
        <w:spacing w:after="0"/>
      </w:pPr>
    </w:p>
    <w:p w14:paraId="5C24543B" w14:textId="77777777" w:rsidR="00FC4067" w:rsidRPr="00547C88" w:rsidRDefault="00FC4067">
      <w:pPr>
        <w:rPr>
          <w:sz w:val="24"/>
        </w:rPr>
      </w:pPr>
    </w:p>
    <w:p w14:paraId="78C04B60" w14:textId="77777777" w:rsidR="00E973E3" w:rsidRPr="00547C88" w:rsidRDefault="00E973E3">
      <w:pPr>
        <w:rPr>
          <w:sz w:val="24"/>
        </w:rPr>
      </w:pPr>
    </w:p>
    <w:sectPr w:rsidR="00E973E3" w:rsidRPr="00547C88" w:rsidSect="00FC406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4AF5" w14:textId="77777777" w:rsidR="000B1337" w:rsidRDefault="000B1337" w:rsidP="00FC4067">
      <w:pPr>
        <w:spacing w:after="0" w:line="240" w:lineRule="auto"/>
      </w:pPr>
      <w:r>
        <w:separator/>
      </w:r>
    </w:p>
  </w:endnote>
  <w:endnote w:type="continuationSeparator" w:id="0">
    <w:p w14:paraId="0673FCBC" w14:textId="77777777" w:rsidR="000B1337" w:rsidRDefault="000B1337" w:rsidP="00FC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CE2D" w14:textId="77777777" w:rsidR="00FC4067" w:rsidRDefault="00E10814" w:rsidP="00FC4067">
    <w:pPr>
      <w:pStyle w:val="Footer"/>
      <w:tabs>
        <w:tab w:val="clear" w:pos="4513"/>
        <w:tab w:val="clear" w:pos="9026"/>
        <w:tab w:val="left" w:pos="3116"/>
      </w:tabs>
      <w:jc w:val="righ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0F4D9B" wp14:editId="7720FB29">
              <wp:simplePos x="0" y="0"/>
              <wp:positionH relativeFrom="margin">
                <wp:posOffset>5404485</wp:posOffset>
              </wp:positionH>
              <wp:positionV relativeFrom="paragraph">
                <wp:posOffset>-80332</wp:posOffset>
              </wp:positionV>
              <wp:extent cx="709295" cy="32702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EE222" w14:textId="47AE672B" w:rsidR="00E10814" w:rsidRPr="00E10814" w:rsidRDefault="00E10814" w:rsidP="00E10814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E108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16352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E1081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F4D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5.55pt;margin-top:-6.35pt;width:55.8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YlHgIAABo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" stroked="f">
              <v:textbox>
                <w:txbxContent>
                  <w:p w14:paraId="6ADEE222" w14:textId="47AE672B" w:rsidR="00E10814" w:rsidRPr="00E10814" w:rsidRDefault="00E10814" w:rsidP="00E10814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E10814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B16352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 w:rsidRPr="00E1081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4067">
      <w:tab/>
    </w:r>
    <w:r w:rsidR="00FC4067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7505B84" wp14:editId="70D3A819">
          <wp:simplePos x="914400" y="9662160"/>
          <wp:positionH relativeFrom="column">
            <wp:align>center</wp:align>
          </wp:positionH>
          <wp:positionV relativeFrom="page">
            <wp:align>bottom</wp:align>
          </wp:positionV>
          <wp:extent cx="7534800" cy="7596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5F28" w14:textId="77777777" w:rsidR="000B1337" w:rsidRDefault="000B1337" w:rsidP="00FC4067">
      <w:pPr>
        <w:spacing w:after="0" w:line="240" w:lineRule="auto"/>
      </w:pPr>
      <w:r>
        <w:separator/>
      </w:r>
    </w:p>
  </w:footnote>
  <w:footnote w:type="continuationSeparator" w:id="0">
    <w:p w14:paraId="2054D7D2" w14:textId="77777777" w:rsidR="000B1337" w:rsidRDefault="000B1337" w:rsidP="00FC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EA41" w14:textId="77777777" w:rsidR="00FC4067" w:rsidRDefault="00FC406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3618421" wp14:editId="1F16B44A">
          <wp:simplePos x="914400" y="450376"/>
          <wp:positionH relativeFrom="column">
            <wp:align>center</wp:align>
          </wp:positionH>
          <wp:positionV relativeFrom="page">
            <wp:align>top</wp:align>
          </wp:positionV>
          <wp:extent cx="7531200" cy="69840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_General-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28C"/>
    <w:multiLevelType w:val="hybridMultilevel"/>
    <w:tmpl w:val="C66CBB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0398F"/>
    <w:multiLevelType w:val="hybridMultilevel"/>
    <w:tmpl w:val="DB804590"/>
    <w:lvl w:ilvl="0" w:tplc="1F22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4CEB"/>
    <w:multiLevelType w:val="hybridMultilevel"/>
    <w:tmpl w:val="CA18A04A"/>
    <w:lvl w:ilvl="0" w:tplc="1F22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6471A0"/>
    <w:multiLevelType w:val="hybridMultilevel"/>
    <w:tmpl w:val="AB440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B6EC9"/>
    <w:multiLevelType w:val="hybridMultilevel"/>
    <w:tmpl w:val="DDA22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935F38"/>
    <w:multiLevelType w:val="hybridMultilevel"/>
    <w:tmpl w:val="FCE802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424D3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6F744D"/>
    <w:multiLevelType w:val="hybridMultilevel"/>
    <w:tmpl w:val="CEEA7B6A"/>
    <w:lvl w:ilvl="0" w:tplc="0C09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7"/>
    <w:rsid w:val="000037BF"/>
    <w:rsid w:val="00005633"/>
    <w:rsid w:val="000147EB"/>
    <w:rsid w:val="00032027"/>
    <w:rsid w:val="00035DF8"/>
    <w:rsid w:val="00041AE8"/>
    <w:rsid w:val="000B1337"/>
    <w:rsid w:val="001152EF"/>
    <w:rsid w:val="0012457F"/>
    <w:rsid w:val="001B0018"/>
    <w:rsid w:val="001C6AAB"/>
    <w:rsid w:val="001D4C17"/>
    <w:rsid w:val="001D6E30"/>
    <w:rsid w:val="00204D02"/>
    <w:rsid w:val="002A2B7B"/>
    <w:rsid w:val="002B1C2F"/>
    <w:rsid w:val="003678C3"/>
    <w:rsid w:val="003804BC"/>
    <w:rsid w:val="004247E9"/>
    <w:rsid w:val="00474D2F"/>
    <w:rsid w:val="00491CF3"/>
    <w:rsid w:val="004A30DF"/>
    <w:rsid w:val="004A7487"/>
    <w:rsid w:val="004E64F1"/>
    <w:rsid w:val="005430C8"/>
    <w:rsid w:val="00547C88"/>
    <w:rsid w:val="005B5264"/>
    <w:rsid w:val="005D3F30"/>
    <w:rsid w:val="005F66FC"/>
    <w:rsid w:val="00606A42"/>
    <w:rsid w:val="00622654"/>
    <w:rsid w:val="00633987"/>
    <w:rsid w:val="007043AE"/>
    <w:rsid w:val="0071191F"/>
    <w:rsid w:val="00781E0E"/>
    <w:rsid w:val="0079411E"/>
    <w:rsid w:val="007D1DE6"/>
    <w:rsid w:val="007F0E24"/>
    <w:rsid w:val="00807049"/>
    <w:rsid w:val="00886497"/>
    <w:rsid w:val="008973BF"/>
    <w:rsid w:val="008B1026"/>
    <w:rsid w:val="008C055E"/>
    <w:rsid w:val="008C5B54"/>
    <w:rsid w:val="008F7EFD"/>
    <w:rsid w:val="009C2BB9"/>
    <w:rsid w:val="009E637E"/>
    <w:rsid w:val="00A429F9"/>
    <w:rsid w:val="00A42ED2"/>
    <w:rsid w:val="00A45FAC"/>
    <w:rsid w:val="00A77776"/>
    <w:rsid w:val="00AB0FA3"/>
    <w:rsid w:val="00AC4E5B"/>
    <w:rsid w:val="00B04417"/>
    <w:rsid w:val="00B16352"/>
    <w:rsid w:val="00B24CFD"/>
    <w:rsid w:val="00B27E17"/>
    <w:rsid w:val="00B6363D"/>
    <w:rsid w:val="00B76F8C"/>
    <w:rsid w:val="00BB7338"/>
    <w:rsid w:val="00BC2758"/>
    <w:rsid w:val="00BE00CC"/>
    <w:rsid w:val="00C27757"/>
    <w:rsid w:val="00C37FD4"/>
    <w:rsid w:val="00C705DE"/>
    <w:rsid w:val="00CA19EC"/>
    <w:rsid w:val="00CB70EE"/>
    <w:rsid w:val="00CE0042"/>
    <w:rsid w:val="00D14C32"/>
    <w:rsid w:val="00D370FE"/>
    <w:rsid w:val="00D70800"/>
    <w:rsid w:val="00D77E4E"/>
    <w:rsid w:val="00E00E1A"/>
    <w:rsid w:val="00E06DAE"/>
    <w:rsid w:val="00E10814"/>
    <w:rsid w:val="00E973E3"/>
    <w:rsid w:val="00EB0FF9"/>
    <w:rsid w:val="00EB66DB"/>
    <w:rsid w:val="00EB67E5"/>
    <w:rsid w:val="00EB7830"/>
    <w:rsid w:val="00F32DA1"/>
    <w:rsid w:val="00F50F86"/>
    <w:rsid w:val="00F563D5"/>
    <w:rsid w:val="00F6193C"/>
    <w:rsid w:val="00F978EE"/>
    <w:rsid w:val="00FA04F6"/>
    <w:rsid w:val="00FB0473"/>
    <w:rsid w:val="00FB44C3"/>
    <w:rsid w:val="00FC376E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7723E"/>
  <w15:chartTrackingRefBased/>
  <w15:docId w15:val="{CDCE520A-602B-407C-8E6B-FA7667BB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C88"/>
    <w:pPr>
      <w:keepNext/>
      <w:spacing w:before="480" w:after="360" w:line="240" w:lineRule="auto"/>
      <w:outlineLvl w:val="0"/>
    </w:pPr>
    <w:rPr>
      <w:rFonts w:ascii="Calibri Light" w:eastAsia="MingLiU" w:hAnsi="Calibri Light" w:cs="Mangal"/>
      <w:b/>
      <w:color w:val="001C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C88"/>
    <w:pPr>
      <w:keepNext/>
      <w:spacing w:after="120" w:line="240" w:lineRule="auto"/>
      <w:outlineLvl w:val="1"/>
    </w:pPr>
    <w:rPr>
      <w:rFonts w:ascii="Calibri Light" w:eastAsia="MingLiU" w:hAnsi="Calibri Light" w:cs="Mangal"/>
      <w:b/>
      <w:color w:val="001C4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4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C406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67"/>
  </w:style>
  <w:style w:type="paragraph" w:styleId="Footer">
    <w:name w:val="footer"/>
    <w:basedOn w:val="Normal"/>
    <w:link w:val="FooterChar"/>
    <w:uiPriority w:val="99"/>
    <w:unhideWhenUsed/>
    <w:rsid w:val="00FC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67"/>
  </w:style>
  <w:style w:type="character" w:customStyle="1" w:styleId="Heading1Char">
    <w:name w:val="Heading 1 Char"/>
    <w:basedOn w:val="DefaultParagraphFont"/>
    <w:link w:val="Heading1"/>
    <w:uiPriority w:val="9"/>
    <w:rsid w:val="00547C88"/>
    <w:rPr>
      <w:rFonts w:ascii="Calibri Light" w:eastAsia="MingLiU" w:hAnsi="Calibri Light" w:cs="Mangal"/>
      <w:b/>
      <w:color w:val="001C4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C88"/>
    <w:rPr>
      <w:rFonts w:ascii="Calibri Light" w:eastAsia="MingLiU" w:hAnsi="Calibri Light" w:cs="Mangal"/>
      <w:b/>
      <w:color w:val="001C40"/>
      <w:sz w:val="36"/>
      <w:szCs w:val="26"/>
    </w:rPr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547C88"/>
    <w:pPr>
      <w:numPr>
        <w:numId w:val="1"/>
      </w:numPr>
      <w:spacing w:after="200" w:line="240" w:lineRule="auto"/>
      <w:contextualSpacing/>
    </w:pPr>
  </w:style>
  <w:style w:type="table" w:styleId="TableGrid">
    <w:name w:val="Table Grid"/>
    <w:basedOn w:val="TableNormal"/>
    <w:uiPriority w:val="59"/>
    <w:rsid w:val="00547C8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C8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3F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F3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77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30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70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locked/>
    <w:rsid w:val="00BE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ACpanel@arts.qld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NACPanel@arts.qld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s.qld.gov.au/projects-and-initiatives/first-nations-arts-and-cultures-pane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Brearley</dc:creator>
  <cp:keywords/>
  <dc:description/>
  <cp:lastModifiedBy>Alex Lee</cp:lastModifiedBy>
  <cp:revision>2</cp:revision>
  <cp:lastPrinted>2021-04-15T03:26:00Z</cp:lastPrinted>
  <dcterms:created xsi:type="dcterms:W3CDTF">2021-06-17T00:33:00Z</dcterms:created>
  <dcterms:modified xsi:type="dcterms:W3CDTF">2021-06-17T00:33:00Z</dcterms:modified>
</cp:coreProperties>
</file>