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53219749"/>
        <w:docPartObj>
          <w:docPartGallery w:val="Cover Pages"/>
          <w:docPartUnique/>
        </w:docPartObj>
      </w:sdtPr>
      <w:sdtEndPr/>
      <w:sdtContent>
        <w:p w14:paraId="2FC77DA2" w14:textId="77777777" w:rsidR="00FC4067" w:rsidRDefault="00FC4067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1889F4" wp14:editId="3C7114A8">
                <wp:simplePos x="914400" y="91440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542000" cy="10666800"/>
                <wp:effectExtent l="0" t="0" r="1905" b="127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CP_General-Word-Cover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B88CB" w14:textId="77777777" w:rsidR="00FC4067" w:rsidRDefault="007F0E24"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93241A7" wp14:editId="458624AC">
                    <wp:simplePos x="0" y="0"/>
                    <wp:positionH relativeFrom="column">
                      <wp:posOffset>-250190</wp:posOffset>
                    </wp:positionH>
                    <wp:positionV relativeFrom="paragraph">
                      <wp:posOffset>4139565</wp:posOffset>
                    </wp:positionV>
                    <wp:extent cx="5158740" cy="1404620"/>
                    <wp:effectExtent l="0" t="0" r="381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4BC6C" w14:textId="12FD7432" w:rsidR="00FC4067" w:rsidRPr="00FC4067" w:rsidRDefault="007F0E24" w:rsidP="00FC4067">
                                <w:pP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 xml:space="preserve">Meeting </w:t>
                                </w:r>
                                <w:r w:rsidR="00257100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>9</w:t>
                                </w:r>
                              </w:p>
                              <w:p w14:paraId="1C1D4019" w14:textId="63FB71FD" w:rsidR="00FC4067" w:rsidRPr="00FC4067" w:rsidRDefault="00257100" w:rsidP="00FC4067">
                                <w:pPr>
                                  <w:rPr>
                                    <w:rFonts w:ascii="Arial" w:hAnsi="Arial" w:cs="Arial"/>
                                    <w:b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Friday 25 February 2</w:t>
                                </w:r>
                                <w:r w:rsidR="000F7297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02</w:t>
                                </w: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3241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7pt;margin-top:325.95pt;width:4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/1HwIAABwEAAAOAAAAZHJzL2Uyb0RvYy54bWysU9tuGyEQfa/Uf0C813uRnTgrr6PUqatK&#10;aVop6QewLOtFBYYC9q779R1Yx7HSt6o8oIEZDmfOzKxuR63IQTgvwdS0mOWUCMOhlWZX0x/P2w9L&#10;SnxgpmUKjKjpUXh6u37/bjXYSpTQg2qFIwhifDXYmvYh2CrLPO+FZn4GVhh0duA0C3h0u6x1bEB0&#10;rbIyz6+yAVxrHXDhPd7eT066TvhdJ3j41nVeBKJqitxC2l3am7hn6xWrdo7ZXvITDfYPLDSTBj89&#10;Q92zwMjeyb+gtOQOPHRhxkFn0HWSi5QDZlPkb7J56pkVKRcUx9uzTP7/wfLHw3dHZFvTkhLDNJbo&#10;WYyBfISRlFGdwfoKg54shoURr7HKKVNvH4D/9MTApmdmJ+6cg6EXrEV2RXyZXTydcHwEaYav0OI3&#10;bB8gAY2d01E6FIMgOlbpeK5MpMLxclEsltdzdHH0FfN8flWm2mWsenlunQ+fBWgSjZo6LH2CZ4cH&#10;HyIdVr2ExN88KNlupVLp4HbNRjlyYNgm27RSBm/ClCFDTW8W5SIhG4jvUwdpGbCNldQ1XeZxTY0V&#10;5fhk2hQSmFSTjUyUOekTJZnECWMzYmAUrYH2iEo5mNoVxwuNHtxvSgZs1Zr6X3vmBCXqi0G1b4p5&#10;lCakw3xxjdIQd+lpLj3McISqaaBkMjchzUPSwd5hVbYy6fXK5MQVWzDJeBqX2OOX5xT1OtTrPwAA&#10;AP//AwBQSwMEFAAGAAgAAAAhAIxIq47hAAAACwEAAA8AAABkcnMvZG93bnJldi54bWxMj8FOwzAQ&#10;RO9I/IO1SNxaJ4Q2bcimqqi4cECiIMHRjZ04Il5btpuGv8ec4Ljap5k39W42I5uUD4MlhHyZAVPU&#10;WjlQj/D+9rTYAAtRkBSjJYXwrQLsmuurWlTSXuhVTcfYsxRCoRIIOkZXcR5arYwIS+sUpV9nvREx&#10;nb7n0otLCjcjv8uyNTdioNSghVOPWrVfx7NB+DB6kAf/8tnJcTo8d/uVm71DvL2Z9w/AoprjHwy/&#10;+kkdmuR0smeSgY0Ii2J7n1CE9SrfAktEWRZp3QlhUxY58Kbm/zc0PwAAAP//AwBQSwECLQAUAAYA&#10;CAAAACEAtoM4kv4AAADhAQAAEwAAAAAAAAAAAAAAAAAAAAAAW0NvbnRlbnRfVHlwZXNdLnhtbFBL&#10;AQItABQABgAIAAAAIQA4/SH/1gAAAJQBAAALAAAAAAAAAAAAAAAAAC8BAABfcmVscy8ucmVsc1BL&#10;AQItABQABgAIAAAAIQCJ8P/1HwIAABwEAAAOAAAAAAAAAAAAAAAAAC4CAABkcnMvZTJvRG9jLnht&#10;bFBLAQItABQABgAIAAAAIQCMSKuO4QAAAAsBAAAPAAAAAAAAAAAAAAAAAHkEAABkcnMvZG93bnJl&#10;di54bWxQSwUGAAAAAAQABADzAAAAhwUAAAAA&#10;" stroked="f">
                    <v:textbox style="mso-fit-shape-to-text:t">
                      <w:txbxContent>
                        <w:p w14:paraId="02E4BC6C" w14:textId="12FD7432" w:rsidR="00FC4067" w:rsidRPr="00FC4067" w:rsidRDefault="007F0E24" w:rsidP="00FC4067">
                          <w:pP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 xml:space="preserve">Meeting </w:t>
                          </w:r>
                          <w:r w:rsidR="00257100"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>9</w:t>
                          </w:r>
                        </w:p>
                        <w:p w14:paraId="1C1D4019" w14:textId="63FB71FD" w:rsidR="00FC4067" w:rsidRPr="00FC4067" w:rsidRDefault="00257100" w:rsidP="00FC406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Friday 25 February 2</w:t>
                          </w:r>
                          <w:r w:rsidR="000F7297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02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24186A" wp14:editId="72C9612A">
                    <wp:simplePos x="0" y="0"/>
                    <wp:positionH relativeFrom="column">
                      <wp:posOffset>-452755</wp:posOffset>
                    </wp:positionH>
                    <wp:positionV relativeFrom="paragraph">
                      <wp:posOffset>1776095</wp:posOffset>
                    </wp:positionV>
                    <wp:extent cx="5158740" cy="2667000"/>
                    <wp:effectExtent l="0" t="0" r="381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266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4A569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  <w:t>First Nations Arts and Cultures Panel</w:t>
                                </w:r>
                              </w:p>
                              <w:p w14:paraId="37DA7C7F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  <w:t>Communique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24186A" id="_x0000_s1027" type="#_x0000_t202" style="position:absolute;margin-left:-35.65pt;margin-top:139.85pt;width:406.2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AOIwIAACU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7Op/PVcoYujr5isVjmeapexsqX59b58FmAJvFQUYfFT/Ds&#10;+OBDpMPKl5D4mwclm51UKhluX2+VI0eGjbJLK2XwJkwZ0lf0Zl7ME7KB+D71kJYBG1lJXdEVUhvJ&#10;sTLK8ck0KSQwqcYzMlHmrE+UZBQnDPWQSpHEi9rV0JxQMAdj3+Kc4aED95uSHnu2ov7XgTlBifpi&#10;UPSb6SwqFJIxmy8LNNy1p772MMMRqqKBkvG4DWkwohwG7rA4rUyyvTI5U8ZeTGqe5yY2+7Wdol6n&#10;e/MHAAD//wMAUEsDBBQABgAIAAAAIQCXD+g+3wAAAAsBAAAPAAAAZHJzL2Rvd25yZXYueG1sTI/B&#10;ToNAEIbvJr7DZpp4Me1CrawgS6Mmml5b+wALTIGUnSXsttC3dzzpcWa+/PP9+Xa2vbji6DtHGuJV&#10;BAKpcnVHjYbj9+fyBYQPhmrTO0INN/SwLe7vcpPVbqI9Xg+hERxCPjMa2hCGTEpftWiNX7kBiW8n&#10;N1oTeBwbWY9m4nDby3UUJdKajvhDawb8aLE6Hy5Ww2k3PT6nU/kVjmq/Sd5Np0p30/phMb+9ggg4&#10;hz8YfvVZHQp2Kt2Fai96DUsVPzGqYa1SBYIJtYljEKWGJOWNLHL5v0PxAwAA//8DAFBLAQItABQA&#10;BgAIAAAAIQC2gziS/gAAAOEBAAATAAAAAAAAAAAAAAAAAAAAAABbQ29udGVudF9UeXBlc10ueG1s&#10;UEsBAi0AFAAGAAgAAAAhADj9If/WAAAAlAEAAAsAAAAAAAAAAAAAAAAALwEAAF9yZWxzLy5yZWxz&#10;UEsBAi0AFAAGAAgAAAAhAE/LsA4jAgAAJQQAAA4AAAAAAAAAAAAAAAAALgIAAGRycy9lMm9Eb2Mu&#10;eG1sUEsBAi0AFAAGAAgAAAAhAJcP6D7fAAAACwEAAA8AAAAAAAAAAAAAAAAAfQQAAGRycy9kb3du&#10;cmV2LnhtbFBLBQYAAAAABAAEAPMAAACJBQAAAAA=&#10;" stroked="f">
                    <v:textbox>
                      <w:txbxContent>
                        <w:p w14:paraId="4BD4A569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  <w:t>First Nations Arts and Cultures Panel</w:t>
                          </w:r>
                        </w:p>
                        <w:p w14:paraId="37DA7C7F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  <w:t>Communique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C4067">
            <w:br w:type="page"/>
          </w:r>
        </w:p>
      </w:sdtContent>
    </w:sdt>
    <w:p w14:paraId="082B9E87" w14:textId="77777777" w:rsidR="00547C88" w:rsidRPr="003B3430" w:rsidRDefault="00547C88" w:rsidP="00547C88">
      <w:pPr>
        <w:pStyle w:val="Heading1"/>
        <w:spacing w:before="0" w:after="160"/>
        <w:rPr>
          <w:rFonts w:ascii="Arial" w:eastAsiaTheme="minorHAnsi" w:hAnsi="Arial" w:cstheme="minorBidi"/>
          <w:color w:val="auto"/>
          <w:sz w:val="40"/>
          <w:szCs w:val="40"/>
        </w:rPr>
      </w:pPr>
      <w:r w:rsidRPr="003B3430">
        <w:rPr>
          <w:rFonts w:ascii="Arial" w:eastAsiaTheme="minorHAnsi" w:hAnsi="Arial" w:cstheme="minorBidi"/>
          <w:color w:val="auto"/>
          <w:sz w:val="40"/>
          <w:szCs w:val="40"/>
        </w:rPr>
        <w:lastRenderedPageBreak/>
        <w:t xml:space="preserve">First Nations Arts and Cultures Panel </w:t>
      </w:r>
    </w:p>
    <w:p w14:paraId="0C6D5F29" w14:textId="77777777" w:rsidR="00547C88" w:rsidRPr="00063104" w:rsidRDefault="00547C88" w:rsidP="00547C88">
      <w:pPr>
        <w:spacing w:after="0"/>
        <w:rPr>
          <w:rFonts w:cstheme="minorHAnsi"/>
        </w:rPr>
      </w:pPr>
    </w:p>
    <w:p w14:paraId="5AE8719F" w14:textId="77777777" w:rsidR="00547C88" w:rsidRPr="00CA116D" w:rsidRDefault="00547C88" w:rsidP="00547C88">
      <w:pPr>
        <w:pStyle w:val="Heading2"/>
        <w:rPr>
          <w:rFonts w:asciiTheme="minorHAnsi" w:hAnsiTheme="minorHAnsi" w:cstheme="minorHAnsi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communiqué</w:t>
      </w:r>
    </w:p>
    <w:p w14:paraId="79D4EB5B" w14:textId="34864E26" w:rsidR="00257100" w:rsidRDefault="00257100" w:rsidP="00257100">
      <w:pPr>
        <w:rPr>
          <w:rFonts w:cstheme="minorHAnsi"/>
        </w:rPr>
      </w:pPr>
      <w:r w:rsidRPr="004563A8">
        <w:rPr>
          <w:rFonts w:cstheme="minorHAnsi"/>
        </w:rPr>
        <w:t>The ninth meeting of the First Nations Arts and Cultures Panel (the Panel) was held on Friday,</w:t>
      </w:r>
      <w:r w:rsidR="00BF7567">
        <w:rPr>
          <w:rFonts w:cstheme="minorHAnsi"/>
        </w:rPr>
        <w:t> </w:t>
      </w:r>
      <w:r w:rsidRPr="004563A8">
        <w:rPr>
          <w:rFonts w:cstheme="minorHAnsi"/>
        </w:rPr>
        <w:t xml:space="preserve">9:00am to 4:00pm, 25 February 2022 at Arts Queensland, George Street, Brisbane with most Panel members joining the meeting via Microsoft Teams. </w:t>
      </w:r>
    </w:p>
    <w:p w14:paraId="384B46FE" w14:textId="77777777" w:rsidR="00547C88" w:rsidRPr="00D77E4E" w:rsidRDefault="00547C88" w:rsidP="00547C88">
      <w:pPr>
        <w:spacing w:after="0"/>
        <w:rPr>
          <w:rFonts w:cstheme="minorHAnsi"/>
        </w:rPr>
      </w:pPr>
    </w:p>
    <w:p w14:paraId="3AEF48AE" w14:textId="77777777" w:rsidR="00547C88" w:rsidRPr="00CA116D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summary</w:t>
      </w:r>
    </w:p>
    <w:p w14:paraId="08C3FCDA" w14:textId="2E0ECD07" w:rsidR="00547C88" w:rsidRDefault="00A45FAC" w:rsidP="00F922BE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At the meeting </w:t>
      </w:r>
      <w:r w:rsidR="00084040">
        <w:rPr>
          <w:rFonts w:cstheme="minorHAnsi"/>
        </w:rPr>
        <w:t xml:space="preserve">the </w:t>
      </w:r>
      <w:r>
        <w:rPr>
          <w:rFonts w:cstheme="minorHAnsi"/>
        </w:rPr>
        <w:t>Panel</w:t>
      </w:r>
      <w:r w:rsidR="00547C88" w:rsidRPr="00D77E4E">
        <w:rPr>
          <w:rFonts w:cstheme="minorHAnsi"/>
        </w:rPr>
        <w:t>:</w:t>
      </w:r>
    </w:p>
    <w:p w14:paraId="420A6D6A" w14:textId="5F41697D" w:rsidR="00257100" w:rsidRPr="004563A8" w:rsidRDefault="001C27A3" w:rsidP="00257100">
      <w:pPr>
        <w:pStyle w:val="ListParagraph"/>
        <w:numPr>
          <w:ilvl w:val="0"/>
          <w:numId w:val="36"/>
        </w:numPr>
        <w:spacing w:after="2"/>
        <w:ind w:left="360"/>
        <w:contextualSpacing w:val="0"/>
        <w:rPr>
          <w:rFonts w:cstheme="minorHAnsi"/>
        </w:rPr>
      </w:pPr>
      <w:r>
        <w:rPr>
          <w:rFonts w:cstheme="minorHAnsi"/>
        </w:rPr>
        <w:t>a</w:t>
      </w:r>
      <w:r w:rsidR="00257100" w:rsidRPr="004563A8">
        <w:rPr>
          <w:rFonts w:cstheme="minorHAnsi"/>
        </w:rPr>
        <w:t xml:space="preserve">cknowledged the </w:t>
      </w:r>
      <w:r w:rsidR="00891E00">
        <w:rPr>
          <w:rFonts w:cstheme="minorHAnsi"/>
        </w:rPr>
        <w:t>T</w:t>
      </w:r>
      <w:r w:rsidR="00257100" w:rsidRPr="004563A8">
        <w:rPr>
          <w:rFonts w:cstheme="minorHAnsi"/>
        </w:rPr>
        <w:t xml:space="preserve">raditional </w:t>
      </w:r>
      <w:r w:rsidR="00891E00">
        <w:rPr>
          <w:rFonts w:cstheme="minorHAnsi"/>
        </w:rPr>
        <w:t>C</w:t>
      </w:r>
      <w:r w:rsidR="00257100" w:rsidRPr="004563A8">
        <w:rPr>
          <w:rFonts w:cstheme="minorHAnsi"/>
        </w:rPr>
        <w:t xml:space="preserve">ustodians of the land and </w:t>
      </w:r>
      <w:r w:rsidR="00257100">
        <w:rPr>
          <w:rFonts w:cstheme="minorHAnsi"/>
        </w:rPr>
        <w:t>o</w:t>
      </w:r>
      <w:r w:rsidR="00257100" w:rsidRPr="004563A8">
        <w:rPr>
          <w:rFonts w:cstheme="minorHAnsi"/>
        </w:rPr>
        <w:t>bserved a minute’s silence reflecting on the innocents who are currently oppressed including the people of the Ukraine and First Nations peoples at home and around the world</w:t>
      </w:r>
    </w:p>
    <w:p w14:paraId="25144398" w14:textId="77777777" w:rsidR="00257100" w:rsidRPr="004563A8" w:rsidRDefault="00257100" w:rsidP="00257100">
      <w:pPr>
        <w:pStyle w:val="ListParagraph"/>
        <w:numPr>
          <w:ilvl w:val="0"/>
          <w:numId w:val="0"/>
        </w:numPr>
        <w:spacing w:after="2"/>
        <w:ind w:left="1080"/>
        <w:rPr>
          <w:rFonts w:cstheme="minorHAnsi"/>
        </w:rPr>
      </w:pPr>
    </w:p>
    <w:p w14:paraId="207D33E4" w14:textId="78EFAE22" w:rsidR="00A80423" w:rsidRDefault="001C27A3" w:rsidP="008D2F55">
      <w:pPr>
        <w:pStyle w:val="ListParagraph"/>
        <w:numPr>
          <w:ilvl w:val="0"/>
          <w:numId w:val="36"/>
        </w:numPr>
        <w:spacing w:after="2"/>
        <w:ind w:left="360"/>
        <w:contextualSpacing w:val="0"/>
        <w:rPr>
          <w:rFonts w:cstheme="minorHAnsi"/>
        </w:rPr>
      </w:pPr>
      <w:r>
        <w:rPr>
          <w:rFonts w:cstheme="minorHAnsi"/>
        </w:rPr>
        <w:t>w</w:t>
      </w:r>
      <w:r w:rsidR="00257100" w:rsidRPr="004563A8">
        <w:rPr>
          <w:rFonts w:cstheme="minorHAnsi"/>
        </w:rPr>
        <w:t xml:space="preserve">elcomed Mr Stephen Smith </w:t>
      </w:r>
      <w:r w:rsidR="008D2F55">
        <w:rPr>
          <w:rFonts w:cstheme="minorHAnsi"/>
        </w:rPr>
        <w:t xml:space="preserve">who was </w:t>
      </w:r>
      <w:r w:rsidR="00257100" w:rsidRPr="004563A8">
        <w:rPr>
          <w:rFonts w:cstheme="minorHAnsi"/>
        </w:rPr>
        <w:t>recently appointed Strategy Manager</w:t>
      </w:r>
      <w:r w:rsidR="00257100">
        <w:rPr>
          <w:rFonts w:cstheme="minorHAnsi"/>
        </w:rPr>
        <w:t>,</w:t>
      </w:r>
      <w:r w:rsidR="00257100" w:rsidRPr="004563A8">
        <w:rPr>
          <w:rFonts w:cstheme="minorHAnsi"/>
        </w:rPr>
        <w:t xml:space="preserve"> First Nations Engagement</w:t>
      </w:r>
      <w:r w:rsidR="00257100">
        <w:rPr>
          <w:rFonts w:cstheme="minorHAnsi"/>
        </w:rPr>
        <w:t>,</w:t>
      </w:r>
      <w:r w:rsidR="00257100" w:rsidRPr="004563A8">
        <w:rPr>
          <w:rFonts w:cstheme="minorHAnsi"/>
        </w:rPr>
        <w:t xml:space="preserve"> </w:t>
      </w:r>
      <w:r w:rsidR="00BF7567">
        <w:rPr>
          <w:rFonts w:cstheme="minorHAnsi"/>
        </w:rPr>
        <w:t>Arts Queensland (</w:t>
      </w:r>
      <w:r w:rsidR="00257100">
        <w:rPr>
          <w:rFonts w:cstheme="minorHAnsi"/>
        </w:rPr>
        <w:t>AQ</w:t>
      </w:r>
      <w:r w:rsidR="00BF7567">
        <w:rPr>
          <w:rFonts w:cstheme="minorHAnsi"/>
        </w:rPr>
        <w:t>)</w:t>
      </w:r>
    </w:p>
    <w:p w14:paraId="400D3549" w14:textId="77777777" w:rsidR="008D2F55" w:rsidRPr="008D2F55" w:rsidRDefault="008D2F55" w:rsidP="008D2F55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36D97F02" w14:textId="5B1561E2" w:rsidR="001C27A3" w:rsidRDefault="00A80423" w:rsidP="00A80423">
      <w:pPr>
        <w:pStyle w:val="ListParagraph"/>
        <w:numPr>
          <w:ilvl w:val="0"/>
          <w:numId w:val="36"/>
        </w:numPr>
        <w:spacing w:after="2"/>
        <w:ind w:left="360"/>
        <w:contextualSpacing w:val="0"/>
        <w:rPr>
          <w:rFonts w:cstheme="minorHAnsi"/>
        </w:rPr>
      </w:pPr>
      <w:r w:rsidRPr="00A80423">
        <w:rPr>
          <w:rFonts w:cstheme="minorHAnsi"/>
        </w:rPr>
        <w:t>confirmed support for a new model for peer assessment, that will work to achieve 50</w:t>
      </w:r>
      <w:r w:rsidR="00BF7567">
        <w:rPr>
          <w:rFonts w:cstheme="minorHAnsi"/>
        </w:rPr>
        <w:t xml:space="preserve"> per cent </w:t>
      </w:r>
      <w:r w:rsidRPr="00A80423">
        <w:rPr>
          <w:rFonts w:cstheme="minorHAnsi"/>
        </w:rPr>
        <w:t>First Nations representation on all peer assessment panels and 100</w:t>
      </w:r>
      <w:r w:rsidR="00BF7567">
        <w:rPr>
          <w:rFonts w:cstheme="minorHAnsi"/>
        </w:rPr>
        <w:t xml:space="preserve"> per cent</w:t>
      </w:r>
      <w:r w:rsidRPr="00A80423">
        <w:rPr>
          <w:rFonts w:cstheme="minorHAnsi"/>
        </w:rPr>
        <w:t xml:space="preserve"> of assessment of First Nations specific funding programs are undertaken by experts who identify as First Nations peoples</w:t>
      </w:r>
    </w:p>
    <w:p w14:paraId="50EA4106" w14:textId="77777777" w:rsidR="001C27A3" w:rsidRPr="001C27A3" w:rsidRDefault="001C27A3" w:rsidP="001C27A3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510A778E" w14:textId="15B6B35B" w:rsidR="00257100" w:rsidRPr="00A80423" w:rsidRDefault="00BF7567" w:rsidP="00A80423">
      <w:pPr>
        <w:pStyle w:val="ListParagraph"/>
        <w:numPr>
          <w:ilvl w:val="0"/>
          <w:numId w:val="36"/>
        </w:numPr>
        <w:spacing w:after="2"/>
        <w:ind w:left="360"/>
        <w:contextualSpacing w:val="0"/>
        <w:rPr>
          <w:rFonts w:cstheme="minorHAnsi"/>
        </w:rPr>
      </w:pPr>
      <w:r>
        <w:rPr>
          <w:rFonts w:cstheme="minorHAnsi"/>
        </w:rPr>
        <w:t>r</w:t>
      </w:r>
      <w:r w:rsidR="00A80423">
        <w:rPr>
          <w:rFonts w:cstheme="minorHAnsi"/>
        </w:rPr>
        <w:t xml:space="preserve">eviewed </w:t>
      </w:r>
      <w:r w:rsidR="00A80423" w:rsidRPr="00A80423">
        <w:rPr>
          <w:rFonts w:cstheme="minorHAnsi"/>
        </w:rPr>
        <w:t xml:space="preserve">First Nations </w:t>
      </w:r>
      <w:r w:rsidR="00257100">
        <w:t>draft cultural protocols</w:t>
      </w:r>
      <w:r w:rsidR="007D13EE">
        <w:t>,</w:t>
      </w:r>
      <w:r w:rsidR="00257100">
        <w:t xml:space="preserve"> which</w:t>
      </w:r>
      <w:r w:rsidR="00A80423">
        <w:t xml:space="preserve"> will</w:t>
      </w:r>
      <w:r w:rsidR="00257100">
        <w:t xml:space="preserve"> apply </w:t>
      </w:r>
      <w:r w:rsidR="00A80423">
        <w:t xml:space="preserve">to </w:t>
      </w:r>
      <w:r w:rsidR="00257100">
        <w:t>peer assessor</w:t>
      </w:r>
      <w:r w:rsidR="00A80423">
        <w:t xml:space="preserve"> model</w:t>
      </w:r>
      <w:r w:rsidR="00257100">
        <w:t xml:space="preserve"> induction, fund management and assessment processes</w:t>
      </w:r>
    </w:p>
    <w:p w14:paraId="199957EF" w14:textId="77777777" w:rsidR="00257100" w:rsidRPr="004A474E" w:rsidRDefault="00257100" w:rsidP="00257100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0E9DDF78" w14:textId="1D0B6135" w:rsidR="001C27A3" w:rsidRDefault="00A50AA7" w:rsidP="001C27A3">
      <w:pPr>
        <w:pStyle w:val="ListParagraph"/>
        <w:numPr>
          <w:ilvl w:val="0"/>
          <w:numId w:val="36"/>
        </w:numPr>
        <w:spacing w:after="2"/>
        <w:ind w:left="360"/>
        <w:contextualSpacing w:val="0"/>
        <w:rPr>
          <w:rFonts w:cstheme="minorHAnsi"/>
        </w:rPr>
      </w:pPr>
      <w:r>
        <w:rPr>
          <w:rFonts w:cstheme="minorHAnsi"/>
        </w:rPr>
        <w:t>considered</w:t>
      </w:r>
      <w:r w:rsidR="00257100">
        <w:rPr>
          <w:rFonts w:cstheme="minorHAnsi"/>
        </w:rPr>
        <w:t xml:space="preserve"> </w:t>
      </w:r>
      <w:r w:rsidR="00257100" w:rsidRPr="004A474E">
        <w:rPr>
          <w:rFonts w:cstheme="minorHAnsi"/>
        </w:rPr>
        <w:t xml:space="preserve">consultation </w:t>
      </w:r>
      <w:r>
        <w:rPr>
          <w:rFonts w:cstheme="minorHAnsi"/>
        </w:rPr>
        <w:t xml:space="preserve">insights </w:t>
      </w:r>
      <w:r w:rsidR="00257100" w:rsidRPr="004A474E">
        <w:rPr>
          <w:rFonts w:cstheme="minorHAnsi"/>
        </w:rPr>
        <w:t>with First Nations</w:t>
      </w:r>
      <w:r>
        <w:rPr>
          <w:rFonts w:cstheme="minorHAnsi"/>
        </w:rPr>
        <w:t xml:space="preserve"> visuals</w:t>
      </w:r>
      <w:r w:rsidR="00257100" w:rsidRPr="004A474E">
        <w:rPr>
          <w:rFonts w:cstheme="minorHAnsi"/>
        </w:rPr>
        <w:t xml:space="preserve"> artists in Queensland</w:t>
      </w:r>
      <w:r>
        <w:rPr>
          <w:rFonts w:cstheme="minorHAnsi"/>
        </w:rPr>
        <w:t xml:space="preserve">. This highlighted key areas of focus in supporting practitioner business development and market growth, enhanced networking and access to culturally responsive </w:t>
      </w:r>
      <w:r w:rsidR="00257100" w:rsidRPr="004A474E">
        <w:rPr>
          <w:rFonts w:cstheme="minorHAnsi"/>
        </w:rPr>
        <w:t>funding programs</w:t>
      </w:r>
      <w:r w:rsidR="00257100">
        <w:rPr>
          <w:rFonts w:cstheme="minorHAnsi"/>
        </w:rPr>
        <w:t>;</w:t>
      </w:r>
      <w:r w:rsidR="00257100" w:rsidRPr="004A474E">
        <w:rPr>
          <w:rFonts w:cstheme="minorHAnsi"/>
        </w:rPr>
        <w:t xml:space="preserve"> </w:t>
      </w:r>
      <w:r>
        <w:rPr>
          <w:rFonts w:cstheme="minorHAnsi"/>
        </w:rPr>
        <w:t>and enhanced workspaces</w:t>
      </w:r>
    </w:p>
    <w:p w14:paraId="73590289" w14:textId="77777777" w:rsidR="001C27A3" w:rsidRPr="001C27A3" w:rsidRDefault="001C27A3" w:rsidP="001C27A3">
      <w:pPr>
        <w:pStyle w:val="ListParagraph"/>
        <w:numPr>
          <w:ilvl w:val="0"/>
          <w:numId w:val="0"/>
        </w:numPr>
        <w:spacing w:after="2"/>
        <w:ind w:left="360"/>
        <w:contextualSpacing w:val="0"/>
        <w:rPr>
          <w:rFonts w:cstheme="minorHAnsi"/>
        </w:rPr>
      </w:pPr>
    </w:p>
    <w:p w14:paraId="716D713B" w14:textId="589CFC1A" w:rsidR="001C27A3" w:rsidRPr="004A474E" w:rsidRDefault="001C27A3" w:rsidP="00257100">
      <w:pPr>
        <w:pStyle w:val="ListParagraph"/>
        <w:numPr>
          <w:ilvl w:val="0"/>
          <w:numId w:val="36"/>
        </w:numPr>
        <w:spacing w:after="2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noted Cameron Costello’s learnings from </w:t>
      </w:r>
      <w:r w:rsidR="00C619A4">
        <w:rPr>
          <w:rFonts w:cstheme="minorHAnsi"/>
        </w:rPr>
        <w:t xml:space="preserve">QTIC’s </w:t>
      </w:r>
      <w:r w:rsidR="00C619A4">
        <w:t>development of the Queensland First Nations Tourism Council</w:t>
      </w:r>
      <w:r w:rsidR="00BA60EF">
        <w:t xml:space="preserve"> as a peak </w:t>
      </w:r>
      <w:r w:rsidR="0028012C">
        <w:t xml:space="preserve">representative </w:t>
      </w:r>
      <w:r w:rsidR="00BA60EF">
        <w:t>body</w:t>
      </w:r>
      <w:r w:rsidR="0028012C">
        <w:t xml:space="preserve"> for cultural tourism</w:t>
      </w:r>
    </w:p>
    <w:p w14:paraId="0B1687D7" w14:textId="77777777" w:rsidR="006C1749" w:rsidRDefault="006C1749" w:rsidP="006C1749">
      <w:pPr>
        <w:pStyle w:val="CLLOparanumbers"/>
        <w:numPr>
          <w:ilvl w:val="0"/>
          <w:numId w:val="0"/>
        </w:numPr>
        <w:spacing w:before="0" w:after="2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4D3A8D70" w14:textId="19806716" w:rsidR="00A50AA7" w:rsidRDefault="00257100" w:rsidP="00893DC2">
      <w:pPr>
        <w:pStyle w:val="CLLOparanumbers"/>
        <w:numPr>
          <w:ilvl w:val="0"/>
          <w:numId w:val="36"/>
        </w:numPr>
        <w:spacing w:before="0" w:after="2"/>
        <w:ind w:left="360" w:right="-1"/>
        <w:jc w:val="left"/>
        <w:rPr>
          <w:rFonts w:asciiTheme="minorHAnsi" w:hAnsiTheme="minorHAnsi" w:cstheme="minorHAnsi"/>
          <w:sz w:val="22"/>
          <w:szCs w:val="22"/>
        </w:rPr>
      </w:pPr>
      <w:r w:rsidRPr="007D13EE">
        <w:rPr>
          <w:rFonts w:asciiTheme="minorHAnsi" w:hAnsiTheme="minorHAnsi" w:cstheme="minorHAnsi"/>
          <w:sz w:val="22"/>
          <w:szCs w:val="22"/>
        </w:rPr>
        <w:t xml:space="preserve">agreed on </w:t>
      </w:r>
      <w:r w:rsidR="007D13EE" w:rsidRPr="00BF7567">
        <w:rPr>
          <w:rFonts w:asciiTheme="minorHAnsi" w:hAnsiTheme="minorHAnsi" w:cstheme="minorHAnsi"/>
          <w:i/>
          <w:iCs/>
          <w:sz w:val="22"/>
          <w:szCs w:val="22"/>
        </w:rPr>
        <w:t>Creative Together</w:t>
      </w:r>
      <w:r w:rsidRPr="007D13EE">
        <w:rPr>
          <w:rFonts w:asciiTheme="minorHAnsi" w:hAnsiTheme="minorHAnsi" w:cstheme="minorHAnsi"/>
          <w:sz w:val="22"/>
          <w:szCs w:val="22"/>
        </w:rPr>
        <w:t xml:space="preserve"> </w:t>
      </w:r>
      <w:r w:rsidRPr="00BF7567">
        <w:rPr>
          <w:rFonts w:asciiTheme="minorHAnsi" w:hAnsiTheme="minorHAnsi" w:cstheme="minorHAnsi"/>
          <w:i/>
          <w:iCs/>
          <w:sz w:val="22"/>
          <w:szCs w:val="22"/>
        </w:rPr>
        <w:t xml:space="preserve">Grow </w:t>
      </w:r>
      <w:r w:rsidR="00BF7567" w:rsidRPr="00BF7567">
        <w:rPr>
          <w:rFonts w:asciiTheme="minorHAnsi" w:hAnsiTheme="minorHAnsi" w:cstheme="minorHAnsi"/>
          <w:i/>
          <w:iCs/>
          <w:sz w:val="22"/>
          <w:szCs w:val="22"/>
        </w:rPr>
        <w:t>2022-2026</w:t>
      </w:r>
      <w:r w:rsidR="00BF7567">
        <w:rPr>
          <w:rFonts w:asciiTheme="minorHAnsi" w:hAnsiTheme="minorHAnsi" w:cstheme="minorHAnsi"/>
          <w:sz w:val="22"/>
          <w:szCs w:val="22"/>
        </w:rPr>
        <w:t xml:space="preserve"> a</w:t>
      </w:r>
      <w:r w:rsidRPr="007D13EE">
        <w:rPr>
          <w:rFonts w:asciiTheme="minorHAnsi" w:hAnsiTheme="minorHAnsi" w:cstheme="minorHAnsi"/>
          <w:sz w:val="22"/>
          <w:szCs w:val="22"/>
        </w:rPr>
        <w:t xml:space="preserve">ction </w:t>
      </w:r>
      <w:r w:rsidR="00BF7567">
        <w:rPr>
          <w:rFonts w:asciiTheme="minorHAnsi" w:hAnsiTheme="minorHAnsi" w:cstheme="minorHAnsi"/>
          <w:sz w:val="22"/>
          <w:szCs w:val="22"/>
        </w:rPr>
        <w:t>pl</w:t>
      </w:r>
      <w:r w:rsidRPr="007D13EE">
        <w:rPr>
          <w:rFonts w:asciiTheme="minorHAnsi" w:hAnsiTheme="minorHAnsi" w:cstheme="minorHAnsi"/>
          <w:sz w:val="22"/>
          <w:szCs w:val="22"/>
        </w:rPr>
        <w:t>an themes</w:t>
      </w:r>
      <w:r w:rsidR="007D13EE" w:rsidRPr="007D13EE">
        <w:rPr>
          <w:rFonts w:asciiTheme="minorHAnsi" w:hAnsiTheme="minorHAnsi" w:cstheme="minorHAnsi"/>
          <w:sz w:val="22"/>
          <w:szCs w:val="22"/>
        </w:rPr>
        <w:t xml:space="preserve"> to Elevate First Nations Arts including actions to </w:t>
      </w:r>
      <w:r w:rsidR="00A50AA7">
        <w:rPr>
          <w:rFonts w:asciiTheme="minorHAnsi" w:hAnsiTheme="minorHAnsi" w:cstheme="minorHAnsi"/>
          <w:sz w:val="22"/>
          <w:szCs w:val="22"/>
        </w:rPr>
        <w:t xml:space="preserve">enhance </w:t>
      </w:r>
      <w:r w:rsidR="007D13EE" w:rsidRPr="007D13EE">
        <w:rPr>
          <w:rFonts w:asciiTheme="minorHAnsi" w:hAnsiTheme="minorHAnsi" w:cstheme="minorHAnsi"/>
          <w:sz w:val="22"/>
          <w:szCs w:val="22"/>
        </w:rPr>
        <w:t>career pathways and employment, arts business development and support, audience and market development, storytelling, and production of high-quality work</w:t>
      </w:r>
    </w:p>
    <w:p w14:paraId="1DAD72EE" w14:textId="77777777" w:rsidR="008D2F55" w:rsidRDefault="008D2F55" w:rsidP="008D2F55">
      <w:pPr>
        <w:pStyle w:val="CLLOparanumbers"/>
        <w:numPr>
          <w:ilvl w:val="0"/>
          <w:numId w:val="0"/>
        </w:numPr>
        <w:spacing w:before="0" w:after="2"/>
        <w:ind w:left="360"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5ADDDDF6" w14:textId="6B7739DB" w:rsidR="00257100" w:rsidRPr="00A50AA7" w:rsidRDefault="00A50AA7" w:rsidP="00A50AA7">
      <w:pPr>
        <w:pStyle w:val="CLLOparanumbers"/>
        <w:numPr>
          <w:ilvl w:val="0"/>
          <w:numId w:val="36"/>
        </w:numPr>
        <w:spacing w:before="0" w:after="2"/>
        <w:ind w:left="360" w:right="-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supported AQ</w:t>
      </w:r>
      <w:r w:rsidR="00257100" w:rsidRPr="00A50AA7">
        <w:rPr>
          <w:rFonts w:asciiTheme="minorHAnsi" w:hAnsiTheme="minorHAnsi" w:cstheme="minorHAnsi"/>
          <w:sz w:val="22"/>
          <w:szCs w:val="22"/>
        </w:rPr>
        <w:t xml:space="preserve"> </w:t>
      </w:r>
      <w:r w:rsidR="007D13EE" w:rsidRPr="00A50AA7">
        <w:rPr>
          <w:rFonts w:asciiTheme="minorHAnsi" w:hAnsiTheme="minorHAnsi" w:cstheme="minorHAnsi"/>
          <w:sz w:val="22"/>
          <w:szCs w:val="22"/>
        </w:rPr>
        <w:t>facilitat</w:t>
      </w:r>
      <w:r>
        <w:rPr>
          <w:rFonts w:asciiTheme="minorHAnsi" w:hAnsiTheme="minorHAnsi" w:cstheme="minorHAnsi"/>
          <w:sz w:val="22"/>
          <w:szCs w:val="22"/>
        </w:rPr>
        <w:t>ion of</w:t>
      </w:r>
      <w:r w:rsidR="00257100" w:rsidRPr="00A50AA7">
        <w:rPr>
          <w:rFonts w:asciiTheme="minorHAnsi" w:hAnsiTheme="minorHAnsi" w:cstheme="minorHAnsi"/>
          <w:sz w:val="22"/>
          <w:szCs w:val="22"/>
        </w:rPr>
        <w:t xml:space="preserve"> </w:t>
      </w:r>
      <w:r w:rsidR="007D13EE" w:rsidRPr="00A50AA7">
        <w:rPr>
          <w:rFonts w:asciiTheme="minorHAnsi" w:hAnsiTheme="minorHAnsi" w:cstheme="minorHAnsi"/>
          <w:sz w:val="22"/>
          <w:szCs w:val="22"/>
        </w:rPr>
        <w:t>forums with</w:t>
      </w:r>
      <w:r w:rsidR="00257100" w:rsidRPr="00A50AA7">
        <w:rPr>
          <w:rFonts w:asciiTheme="minorHAnsi" w:hAnsiTheme="minorHAnsi" w:cstheme="minorHAnsi"/>
          <w:sz w:val="22"/>
          <w:szCs w:val="22"/>
        </w:rPr>
        <w:t xml:space="preserve"> First Nations</w:t>
      </w:r>
      <w:r w:rsidR="007D13EE" w:rsidRPr="00A50AA7">
        <w:rPr>
          <w:rFonts w:asciiTheme="minorHAnsi" w:hAnsiTheme="minorHAnsi" w:cstheme="minorHAnsi"/>
          <w:sz w:val="22"/>
          <w:szCs w:val="22"/>
        </w:rPr>
        <w:t xml:space="preserve"> arts and cultural practitioners and companies to seek</w:t>
      </w:r>
      <w:r w:rsidR="00257100" w:rsidRPr="00A50AA7">
        <w:rPr>
          <w:rFonts w:asciiTheme="minorHAnsi" w:hAnsiTheme="minorHAnsi" w:cstheme="minorHAnsi"/>
          <w:sz w:val="22"/>
          <w:szCs w:val="22"/>
        </w:rPr>
        <w:t xml:space="preserve"> feedback on emerging </w:t>
      </w:r>
      <w:r w:rsidR="00257100" w:rsidRPr="00BF7567">
        <w:rPr>
          <w:rFonts w:asciiTheme="minorHAnsi" w:hAnsiTheme="minorHAnsi" w:cstheme="minorHAnsi"/>
          <w:i/>
          <w:iCs/>
          <w:sz w:val="22"/>
          <w:szCs w:val="22"/>
        </w:rPr>
        <w:t xml:space="preserve">Grow </w:t>
      </w:r>
      <w:r w:rsidR="007D13EE" w:rsidRPr="00A50AA7">
        <w:rPr>
          <w:rFonts w:asciiTheme="minorHAnsi" w:hAnsiTheme="minorHAnsi" w:cstheme="minorHAnsi"/>
          <w:sz w:val="22"/>
          <w:szCs w:val="22"/>
        </w:rPr>
        <w:t>action areas</w:t>
      </w:r>
      <w:r w:rsidR="00517CED" w:rsidRPr="00A50AA7">
        <w:rPr>
          <w:rFonts w:asciiTheme="minorHAnsi" w:hAnsiTheme="minorHAnsi" w:cstheme="minorHAnsi"/>
          <w:sz w:val="22"/>
          <w:szCs w:val="22"/>
        </w:rPr>
        <w:t>.</w:t>
      </w:r>
    </w:p>
    <w:p w14:paraId="0C99011C" w14:textId="77777777" w:rsidR="00257100" w:rsidRPr="004563A8" w:rsidRDefault="00257100" w:rsidP="00257100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14:paraId="7B3DBC4E" w14:textId="64EA36CF" w:rsidR="00547C88" w:rsidRPr="007A3E8C" w:rsidRDefault="005B5264" w:rsidP="00F922BE">
      <w:pPr>
        <w:spacing w:after="120" w:line="240" w:lineRule="auto"/>
      </w:pPr>
      <w:r w:rsidRPr="007A3E8C">
        <w:rPr>
          <w:rFonts w:cstheme="minorHAnsi"/>
        </w:rPr>
        <w:t>T</w:t>
      </w:r>
      <w:r w:rsidR="00547C88" w:rsidRPr="007A3E8C">
        <w:rPr>
          <w:rFonts w:cstheme="minorHAnsi"/>
        </w:rPr>
        <w:t>he next</w:t>
      </w:r>
      <w:r w:rsidR="00781E0E" w:rsidRPr="007A3E8C">
        <w:rPr>
          <w:rFonts w:cstheme="minorHAnsi"/>
        </w:rPr>
        <w:t xml:space="preserve"> </w:t>
      </w:r>
      <w:r w:rsidR="00547C88" w:rsidRPr="007A3E8C">
        <w:rPr>
          <w:rFonts w:cstheme="minorHAnsi"/>
        </w:rPr>
        <w:t>Panel me</w:t>
      </w:r>
      <w:r w:rsidR="005430C8" w:rsidRPr="007A3E8C">
        <w:rPr>
          <w:rFonts w:cstheme="minorHAnsi"/>
        </w:rPr>
        <w:t>eting</w:t>
      </w:r>
      <w:r w:rsidRPr="007A3E8C">
        <w:rPr>
          <w:rFonts w:cstheme="minorHAnsi"/>
        </w:rPr>
        <w:t xml:space="preserve"> </w:t>
      </w:r>
      <w:r w:rsidR="00300A5B" w:rsidRPr="007A3E8C">
        <w:rPr>
          <w:rFonts w:cstheme="minorHAnsi"/>
        </w:rPr>
        <w:t>will be</w:t>
      </w:r>
      <w:r w:rsidRPr="007A3E8C">
        <w:rPr>
          <w:rFonts w:cstheme="minorHAnsi"/>
        </w:rPr>
        <w:t xml:space="preserve"> </w:t>
      </w:r>
      <w:r w:rsidR="00B12BBA" w:rsidRPr="007A3E8C">
        <w:rPr>
          <w:rFonts w:cstheme="minorHAnsi"/>
        </w:rPr>
        <w:t>Friday</w:t>
      </w:r>
      <w:r w:rsidR="00E91A49" w:rsidRPr="007A3E8C">
        <w:rPr>
          <w:rFonts w:cstheme="minorHAnsi"/>
        </w:rPr>
        <w:t xml:space="preserve">, </w:t>
      </w:r>
      <w:r w:rsidR="008D2F55">
        <w:rPr>
          <w:rFonts w:cstheme="minorHAnsi"/>
        </w:rPr>
        <w:t xml:space="preserve">24 June </w:t>
      </w:r>
      <w:r w:rsidR="00F25115" w:rsidRPr="007A3E8C">
        <w:rPr>
          <w:rFonts w:cstheme="minorHAnsi"/>
        </w:rPr>
        <w:t>202</w:t>
      </w:r>
      <w:r w:rsidR="00B12BBA" w:rsidRPr="007A3E8C">
        <w:rPr>
          <w:rFonts w:cstheme="minorHAnsi"/>
        </w:rPr>
        <w:t>2</w:t>
      </w:r>
      <w:r w:rsidR="00F25115" w:rsidRPr="007A3E8C">
        <w:rPr>
          <w:rFonts w:cstheme="minorHAnsi"/>
        </w:rPr>
        <w:t>.</w:t>
      </w:r>
    </w:p>
    <w:p w14:paraId="358CABC1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70A5D13E" w14:textId="77777777" w:rsidR="005D3F30" w:rsidRDefault="005D3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593854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0DD2AB49" w14:textId="04F0BA41" w:rsidR="00547C88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8"/>
        </w:rPr>
      </w:pPr>
      <w:r w:rsidRPr="00547C88">
        <w:rPr>
          <w:rFonts w:asciiTheme="minorHAnsi" w:eastAsiaTheme="minorHAnsi" w:hAnsiTheme="minorHAnsi" w:cstheme="minorHAnsi"/>
          <w:color w:val="auto"/>
          <w:sz w:val="28"/>
        </w:rPr>
        <w:t>In attendance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760"/>
      </w:tblGrid>
      <w:tr w:rsidR="00257100" w:rsidRPr="004563A8" w14:paraId="0E9A637B" w14:textId="77777777" w:rsidTr="00BF7567">
        <w:tc>
          <w:tcPr>
            <w:tcW w:w="3261" w:type="dxa"/>
          </w:tcPr>
          <w:p w14:paraId="7A51ABE1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3BCC61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/>
                <w:sz w:val="22"/>
                <w:szCs w:val="22"/>
              </w:rPr>
              <w:t>Panel members</w:t>
            </w:r>
          </w:p>
          <w:p w14:paraId="531C5F9B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Georgina Richters (Chair)</w:t>
            </w:r>
          </w:p>
          <w:p w14:paraId="028CAA42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Dr Bianca Beetson</w:t>
            </w:r>
          </w:p>
          <w:p w14:paraId="696C5D7F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Robert McLellan</w:t>
            </w:r>
          </w:p>
          <w:p w14:paraId="7D4BC1D4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Yolande Brown</w:t>
            </w:r>
          </w:p>
          <w:p w14:paraId="5E57DA0D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Emma Loban</w:t>
            </w:r>
          </w:p>
          <w:p w14:paraId="6B54FE42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Julie-Ann Lambourne</w:t>
            </w:r>
          </w:p>
          <w:p w14:paraId="36AB2C81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Stephanie Parkin</w:t>
            </w:r>
          </w:p>
          <w:p w14:paraId="5FD71486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Cameron Costello </w:t>
            </w:r>
          </w:p>
          <w:p w14:paraId="593B3357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2D8891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/>
                <w:sz w:val="22"/>
                <w:szCs w:val="22"/>
              </w:rPr>
              <w:t>Apologies</w:t>
            </w:r>
          </w:p>
          <w:p w14:paraId="20DCF519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Yvette Walker</w:t>
            </w:r>
          </w:p>
          <w:p w14:paraId="57B3926D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Dr Fiona Foley</w:t>
            </w:r>
          </w:p>
        </w:tc>
        <w:tc>
          <w:tcPr>
            <w:tcW w:w="5760" w:type="dxa"/>
          </w:tcPr>
          <w:p w14:paraId="1F055157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0E461B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/>
                <w:sz w:val="22"/>
                <w:szCs w:val="22"/>
              </w:rPr>
              <w:t>Arts Queensland</w:t>
            </w:r>
          </w:p>
          <w:p w14:paraId="00A448F0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Kirsten Herring, Deputy Director-General</w:t>
            </w:r>
          </w:p>
          <w:p w14:paraId="398ECB79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Linda Dreghorn, Manager – Governance (Panel Secretariat)</w:t>
            </w:r>
          </w:p>
          <w:p w14:paraId="730348C2" w14:textId="77777777" w:rsidR="002D62EA" w:rsidRDefault="001C27A3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Stephen Smith, Strategy Manager First Nations </w:t>
            </w:r>
            <w:r w:rsidR="002D62EA">
              <w:rPr>
                <w:rFonts w:asciiTheme="minorHAnsi" w:hAnsiTheme="minorHAnsi" w:cstheme="minorHAnsi"/>
                <w:bCs/>
                <w:sz w:val="22"/>
                <w:szCs w:val="22"/>
              </w:rPr>
              <w:t>Engagement</w:t>
            </w:r>
          </w:p>
          <w:p w14:paraId="3620A1D9" w14:textId="600B3B6D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Ivy Hill, Development Manager, Backing Indigenous Arts</w:t>
            </w:r>
          </w:p>
          <w:p w14:paraId="1CEDCC50" w14:textId="127172B2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Celia Reordan, Senior Director, Strategy and Communication</w:t>
            </w:r>
          </w:p>
          <w:p w14:paraId="69C3E1AA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Susan Richer, Director, Strategy</w:t>
            </w:r>
          </w:p>
          <w:p w14:paraId="1AB53756" w14:textId="77777777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3A8">
              <w:rPr>
                <w:rFonts w:asciiTheme="minorHAnsi" w:hAnsiTheme="minorHAnsi" w:cstheme="minorHAnsi"/>
                <w:bCs/>
                <w:sz w:val="22"/>
                <w:szCs w:val="22"/>
              </w:rPr>
              <w:t>Jamie Johnson, Business Administration Trainee</w:t>
            </w:r>
          </w:p>
          <w:p w14:paraId="3518AC65" w14:textId="72BC0828" w:rsidR="00257100" w:rsidRPr="004563A8" w:rsidRDefault="00257100" w:rsidP="00997FDD">
            <w:pPr>
              <w:pStyle w:val="CLLOparanumbers"/>
              <w:numPr>
                <w:ilvl w:val="0"/>
                <w:numId w:val="0"/>
              </w:numPr>
              <w:spacing w:before="0" w:after="0"/>
              <w:ind w:right="-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25FAC6" w14:textId="26124962" w:rsidR="00257100" w:rsidRDefault="00257100" w:rsidP="00257100"/>
    <w:p w14:paraId="26960B12" w14:textId="65337C8A" w:rsidR="00257100" w:rsidRDefault="00257100" w:rsidP="00257100"/>
    <w:p w14:paraId="4E1C3326" w14:textId="7B81FE1B" w:rsidR="00547C88" w:rsidRPr="00D77E4E" w:rsidRDefault="00547C88" w:rsidP="00547C88">
      <w:pPr>
        <w:spacing w:after="0"/>
        <w:rPr>
          <w:rFonts w:ascii="Arial" w:hAnsi="Arial" w:cs="Arial"/>
        </w:rPr>
      </w:pPr>
      <w:r w:rsidRPr="00D77E4E">
        <w:rPr>
          <w:rFonts w:cstheme="minorHAnsi"/>
        </w:rPr>
        <w:t xml:space="preserve">Further details about </w:t>
      </w:r>
      <w:r w:rsidR="00AB7EA1">
        <w:rPr>
          <w:rFonts w:cstheme="minorHAnsi"/>
        </w:rPr>
        <w:t>T</w:t>
      </w:r>
      <w:r w:rsidRPr="00D77E4E">
        <w:rPr>
          <w:rFonts w:cstheme="minorHAnsi"/>
        </w:rPr>
        <w:t xml:space="preserve">he Panel and members can be found on the </w:t>
      </w:r>
      <w:hyperlink r:id="rId12" w:history="1">
        <w:r w:rsidRPr="00257100">
          <w:rPr>
            <w:rStyle w:val="Hyperlink"/>
            <w:rFonts w:cstheme="minorHAnsi"/>
            <w:color w:val="0070C0"/>
          </w:rPr>
          <w:t>Arts Queensland website</w:t>
        </w:r>
      </w:hyperlink>
    </w:p>
    <w:p w14:paraId="2AE30815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62B9C7D9" w14:textId="24091B8A" w:rsidR="00547C88" w:rsidRPr="00D77E4E" w:rsidRDefault="00547C88" w:rsidP="00547C88">
      <w:pPr>
        <w:spacing w:after="0"/>
      </w:pPr>
      <w:r w:rsidRPr="00D77E4E">
        <w:t xml:space="preserve">Any inquiries can be directed to Arts Queensland </w:t>
      </w:r>
      <w:hyperlink r:id="rId13" w:history="1">
        <w:r w:rsidR="00AB7EA1" w:rsidRPr="0090420C">
          <w:rPr>
            <w:rStyle w:val="Hyperlink"/>
          </w:rPr>
          <w:t>FNACPanel@arts.</w:t>
        </w:r>
        <w:r w:rsidR="00AB7EA1" w:rsidRPr="00257100">
          <w:rPr>
            <w:rStyle w:val="Hyperlink"/>
            <w:color w:val="0070C0"/>
          </w:rPr>
          <w:t>qld</w:t>
        </w:r>
        <w:r w:rsidR="00AB7EA1" w:rsidRPr="0090420C">
          <w:rPr>
            <w:rStyle w:val="Hyperlink"/>
          </w:rPr>
          <w:t>.gov.au</w:t>
        </w:r>
      </w:hyperlink>
    </w:p>
    <w:p w14:paraId="0C34AED8" w14:textId="77777777" w:rsidR="00547C88" w:rsidRPr="00D77E4E" w:rsidRDefault="00547C88" w:rsidP="00547C88">
      <w:pPr>
        <w:spacing w:after="0"/>
      </w:pPr>
    </w:p>
    <w:p w14:paraId="5C24543B" w14:textId="77777777" w:rsidR="00FC4067" w:rsidRPr="00547C88" w:rsidRDefault="00FC4067">
      <w:pPr>
        <w:rPr>
          <w:sz w:val="24"/>
        </w:rPr>
      </w:pPr>
    </w:p>
    <w:p w14:paraId="78C04B60" w14:textId="77777777" w:rsidR="00E973E3" w:rsidRPr="00547C88" w:rsidRDefault="00E973E3">
      <w:pPr>
        <w:rPr>
          <w:sz w:val="24"/>
        </w:rPr>
      </w:pPr>
    </w:p>
    <w:sectPr w:rsidR="00E973E3" w:rsidRPr="00547C88" w:rsidSect="00FC40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0E7B" w14:textId="77777777" w:rsidR="000B4E72" w:rsidRDefault="000B4E72" w:rsidP="00FC4067">
      <w:pPr>
        <w:spacing w:after="0" w:line="240" w:lineRule="auto"/>
      </w:pPr>
      <w:r>
        <w:separator/>
      </w:r>
    </w:p>
  </w:endnote>
  <w:endnote w:type="continuationSeparator" w:id="0">
    <w:p w14:paraId="45E632B0" w14:textId="77777777" w:rsidR="000B4E72" w:rsidRDefault="000B4E72" w:rsidP="00F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F570" w14:textId="77777777" w:rsidR="00D46FDA" w:rsidRDefault="00D46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CE2D" w14:textId="77777777" w:rsidR="00FC4067" w:rsidRDefault="00E10814" w:rsidP="00FC4067">
    <w:pPr>
      <w:pStyle w:val="Footer"/>
      <w:tabs>
        <w:tab w:val="clear" w:pos="4513"/>
        <w:tab w:val="clear" w:pos="9026"/>
        <w:tab w:val="left" w:pos="3116"/>
      </w:tabs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0F4D9B" wp14:editId="7720FB29">
              <wp:simplePos x="0" y="0"/>
              <wp:positionH relativeFrom="margin">
                <wp:posOffset>5404485</wp:posOffset>
              </wp:positionH>
              <wp:positionV relativeFrom="paragraph">
                <wp:posOffset>-80332</wp:posOffset>
              </wp:positionV>
              <wp:extent cx="709295" cy="327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E222" w14:textId="6A14D982" w:rsidR="00E10814" w:rsidRPr="00E10814" w:rsidRDefault="00E10814" w:rsidP="00E1081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23823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E108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F4D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5.55pt;margin-top:-6.35pt;width:55.85pt;height:2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YlHgIAABo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zzmzYGhE&#10;j3II7D0OrIjs9J0vyemhI7cw0DNNOXXqu3sUPzyzuG7B7uStc9i3Emqqbhojs4vQEcdHkG3/GWtK&#10;A/uACWhonInUERmM0GlKx/NkYimCHq/yRbGgCgWZ3hZXeTFPGaB8Du6cDx8lGhaFijsafAKHw70P&#10;sRgon11iLo9a1RuldVLcbrvWjh2AlmSTzgn9NzdtWV/xxZxyxyiLMT7tj1GBllgrU/HrPJ4YDmUk&#10;44OtkxxA6VGmSrQ9sRMJGakJw3Ygx0jZFusj8eRwXFb6XCS06H5x1tOiVtz/3IOTnOlPlrheTGez&#10;uNlJmc2vClLcpWV7aQErCKrigbNRXIf0G8aObmkmjUp8vVRyqpUWMNF4+ixxwy/15PXypVdPAAAA&#10;//8DAFBLAwQUAAYACAAAACEAVCM/hN8AAAAKAQAADwAAAGRycy9kb3ducmV2LnhtbEyP0U6DQBBF&#10;3038h82Y+GLaBbRAkaVRE42vrf2AgZ0CkZ0l7LbQv3d90sfJnNx7brlbzCAuNLnesoJ4HYEgbqzu&#10;uVVw/Hpf5SCcR9Y4WCYFV3Kwq25vSiy0nXlPl4NvRQhhV6CCzvuxkNI1HRl0azsSh9/JTgZ9OKdW&#10;6gnnEG4GmURRKg32HBo6HOmto+b7cDYKTp/zw2Y71x/+mO2f0lfss9pelbq/W16eQXha/B8Mv/pB&#10;HargVNszaycGBfkmjgOqYBUnGYhAbNMkjKkVPOY5yKqU/ydUPwAAAP//AwBQSwECLQAUAAYACAAA&#10;ACEAtoM4kv4AAADhAQAAEwAAAAAAAAAAAAAAAAAAAAAAW0NvbnRlbnRfVHlwZXNdLnhtbFBLAQIt&#10;ABQABgAIAAAAIQA4/SH/1gAAAJQBAAALAAAAAAAAAAAAAAAAAC8BAABfcmVscy8ucmVsc1BLAQIt&#10;ABQABgAIAAAAIQDjOvYlHgIAABoEAAAOAAAAAAAAAAAAAAAAAC4CAABkcnMvZTJvRG9jLnhtbFBL&#10;AQItABQABgAIAAAAIQBUIz+E3wAAAAoBAAAPAAAAAAAAAAAAAAAAAHgEAABkcnMvZG93bnJldi54&#10;bWxQSwUGAAAAAAQABADzAAAAhAUAAAAA&#10;" stroked="f">
              <v:textbox>
                <w:txbxContent>
                  <w:p w14:paraId="6ADEE222" w14:textId="6A14D982" w:rsidR="00E10814" w:rsidRPr="00E10814" w:rsidRDefault="00E10814" w:rsidP="00E1081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123823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 w:rsidRPr="00E108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4067">
      <w:tab/>
    </w:r>
    <w:r w:rsidR="00FC4067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7505B84" wp14:editId="70D3A819">
          <wp:simplePos x="914400" y="9662160"/>
          <wp:positionH relativeFrom="column">
            <wp:align>center</wp:align>
          </wp:positionH>
          <wp:positionV relativeFrom="page">
            <wp:align>bottom</wp:align>
          </wp:positionV>
          <wp:extent cx="7534800" cy="7596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6886" w14:textId="77777777" w:rsidR="00D46FDA" w:rsidRDefault="00D46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DED9" w14:textId="77777777" w:rsidR="000B4E72" w:rsidRDefault="000B4E72" w:rsidP="00FC4067">
      <w:pPr>
        <w:spacing w:after="0" w:line="240" w:lineRule="auto"/>
      </w:pPr>
      <w:r>
        <w:separator/>
      </w:r>
    </w:p>
  </w:footnote>
  <w:footnote w:type="continuationSeparator" w:id="0">
    <w:p w14:paraId="18A5B939" w14:textId="77777777" w:rsidR="000B4E72" w:rsidRDefault="000B4E72" w:rsidP="00F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F903" w14:textId="77777777" w:rsidR="00D46FDA" w:rsidRDefault="00D46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EA41" w14:textId="478B52C3" w:rsidR="00FC4067" w:rsidRDefault="00FC40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13618421" wp14:editId="1F16B44A">
          <wp:simplePos x="914400" y="450376"/>
          <wp:positionH relativeFrom="column">
            <wp:align>center</wp:align>
          </wp:positionH>
          <wp:positionV relativeFrom="page">
            <wp:align>top</wp:align>
          </wp:positionV>
          <wp:extent cx="7531200" cy="6984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_General-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6D37" w14:textId="61379D01" w:rsidR="00D46FDA" w:rsidRDefault="00D46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28C"/>
    <w:multiLevelType w:val="hybridMultilevel"/>
    <w:tmpl w:val="9CF28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A4220"/>
    <w:multiLevelType w:val="hybridMultilevel"/>
    <w:tmpl w:val="11B233D8"/>
    <w:lvl w:ilvl="0" w:tplc="E3E09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398F"/>
    <w:multiLevelType w:val="hybridMultilevel"/>
    <w:tmpl w:val="DB804590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0ABE"/>
    <w:multiLevelType w:val="hybridMultilevel"/>
    <w:tmpl w:val="B45E0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14CEB"/>
    <w:multiLevelType w:val="hybridMultilevel"/>
    <w:tmpl w:val="CA18A04A"/>
    <w:lvl w:ilvl="0" w:tplc="1F22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D01B3"/>
    <w:multiLevelType w:val="hybridMultilevel"/>
    <w:tmpl w:val="B7D61556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743C71"/>
    <w:multiLevelType w:val="hybridMultilevel"/>
    <w:tmpl w:val="DB9800EA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DF4"/>
    <w:multiLevelType w:val="hybridMultilevel"/>
    <w:tmpl w:val="F474CF08"/>
    <w:lvl w:ilvl="0" w:tplc="11424D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60D15"/>
    <w:multiLevelType w:val="hybridMultilevel"/>
    <w:tmpl w:val="F4CA6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506B0A"/>
    <w:multiLevelType w:val="hybridMultilevel"/>
    <w:tmpl w:val="7892EC6E"/>
    <w:lvl w:ilvl="0" w:tplc="11424D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71A0"/>
    <w:multiLevelType w:val="hybridMultilevel"/>
    <w:tmpl w:val="AB44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6329"/>
    <w:multiLevelType w:val="multilevel"/>
    <w:tmpl w:val="C778EB54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D7B6EC9"/>
    <w:multiLevelType w:val="hybridMultilevel"/>
    <w:tmpl w:val="DDA22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E7478"/>
    <w:multiLevelType w:val="hybridMultilevel"/>
    <w:tmpl w:val="9F422FA6"/>
    <w:lvl w:ilvl="0" w:tplc="A8A675EE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893C50BA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44F6028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894C33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C2803D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CD6077B8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D408B5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288AA1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826AC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5280627"/>
    <w:multiLevelType w:val="hybridMultilevel"/>
    <w:tmpl w:val="61D0D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35F38"/>
    <w:multiLevelType w:val="hybridMultilevel"/>
    <w:tmpl w:val="FCE8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E60C8"/>
    <w:multiLevelType w:val="hybridMultilevel"/>
    <w:tmpl w:val="25DA6C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6F744D"/>
    <w:multiLevelType w:val="hybridMultilevel"/>
    <w:tmpl w:val="CEEA7B6A"/>
    <w:lvl w:ilvl="0" w:tplc="0C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67"/>
    <w:rsid w:val="000037BF"/>
    <w:rsid w:val="00005633"/>
    <w:rsid w:val="000147EB"/>
    <w:rsid w:val="00032027"/>
    <w:rsid w:val="00035DF8"/>
    <w:rsid w:val="00041AE8"/>
    <w:rsid w:val="00043A47"/>
    <w:rsid w:val="0005107A"/>
    <w:rsid w:val="00060F60"/>
    <w:rsid w:val="000762AC"/>
    <w:rsid w:val="00084040"/>
    <w:rsid w:val="000A57C6"/>
    <w:rsid w:val="000A5FAA"/>
    <w:rsid w:val="000B4E72"/>
    <w:rsid w:val="000F7297"/>
    <w:rsid w:val="001152EF"/>
    <w:rsid w:val="00123823"/>
    <w:rsid w:val="0012457F"/>
    <w:rsid w:val="00165D0F"/>
    <w:rsid w:val="0018164B"/>
    <w:rsid w:val="001A3C19"/>
    <w:rsid w:val="001A66AB"/>
    <w:rsid w:val="001B0018"/>
    <w:rsid w:val="001C27A3"/>
    <w:rsid w:val="001C6AAB"/>
    <w:rsid w:val="001D4C17"/>
    <w:rsid w:val="001D6E30"/>
    <w:rsid w:val="001D77EF"/>
    <w:rsid w:val="001E1F7E"/>
    <w:rsid w:val="00204515"/>
    <w:rsid w:val="00204D02"/>
    <w:rsid w:val="00224438"/>
    <w:rsid w:val="00257100"/>
    <w:rsid w:val="00262D36"/>
    <w:rsid w:val="00270CD4"/>
    <w:rsid w:val="00272B44"/>
    <w:rsid w:val="0028012C"/>
    <w:rsid w:val="002A2B7B"/>
    <w:rsid w:val="002B1C2F"/>
    <w:rsid w:val="002D62EA"/>
    <w:rsid w:val="00300A5B"/>
    <w:rsid w:val="003326A5"/>
    <w:rsid w:val="00356F42"/>
    <w:rsid w:val="003678C3"/>
    <w:rsid w:val="003804BC"/>
    <w:rsid w:val="003D510C"/>
    <w:rsid w:val="003E1A72"/>
    <w:rsid w:val="0041398F"/>
    <w:rsid w:val="004247E9"/>
    <w:rsid w:val="00444038"/>
    <w:rsid w:val="004464FF"/>
    <w:rsid w:val="004655CA"/>
    <w:rsid w:val="00471529"/>
    <w:rsid w:val="00474D2F"/>
    <w:rsid w:val="00491CF3"/>
    <w:rsid w:val="004A30DF"/>
    <w:rsid w:val="004A5C25"/>
    <w:rsid w:val="004A7487"/>
    <w:rsid w:val="004C26F5"/>
    <w:rsid w:val="004C74CB"/>
    <w:rsid w:val="004E64F1"/>
    <w:rsid w:val="00517CED"/>
    <w:rsid w:val="00524C53"/>
    <w:rsid w:val="005430C8"/>
    <w:rsid w:val="00547C88"/>
    <w:rsid w:val="00580AED"/>
    <w:rsid w:val="0059453E"/>
    <w:rsid w:val="00596617"/>
    <w:rsid w:val="005970D0"/>
    <w:rsid w:val="005B5264"/>
    <w:rsid w:val="005B5F78"/>
    <w:rsid w:val="005D3F30"/>
    <w:rsid w:val="005E2427"/>
    <w:rsid w:val="005E62CA"/>
    <w:rsid w:val="005E6E24"/>
    <w:rsid w:val="005F175D"/>
    <w:rsid w:val="005F66FC"/>
    <w:rsid w:val="00606A42"/>
    <w:rsid w:val="006163E0"/>
    <w:rsid w:val="0061793E"/>
    <w:rsid w:val="00622654"/>
    <w:rsid w:val="00633987"/>
    <w:rsid w:val="00634F3C"/>
    <w:rsid w:val="00640343"/>
    <w:rsid w:val="00643B1E"/>
    <w:rsid w:val="006456A6"/>
    <w:rsid w:val="00670ADE"/>
    <w:rsid w:val="006724F5"/>
    <w:rsid w:val="00682860"/>
    <w:rsid w:val="006C1749"/>
    <w:rsid w:val="006C7162"/>
    <w:rsid w:val="007043AE"/>
    <w:rsid w:val="0071191F"/>
    <w:rsid w:val="00716AEB"/>
    <w:rsid w:val="007177A9"/>
    <w:rsid w:val="0072699D"/>
    <w:rsid w:val="00745256"/>
    <w:rsid w:val="0077276F"/>
    <w:rsid w:val="00773193"/>
    <w:rsid w:val="00781E0E"/>
    <w:rsid w:val="0079411E"/>
    <w:rsid w:val="007A3E8C"/>
    <w:rsid w:val="007A6940"/>
    <w:rsid w:val="007A7A60"/>
    <w:rsid w:val="007C055A"/>
    <w:rsid w:val="007C55BF"/>
    <w:rsid w:val="007D13EE"/>
    <w:rsid w:val="007D1DE6"/>
    <w:rsid w:val="007D2961"/>
    <w:rsid w:val="007F0E24"/>
    <w:rsid w:val="00800D4F"/>
    <w:rsid w:val="00807049"/>
    <w:rsid w:val="0080758B"/>
    <w:rsid w:val="00827246"/>
    <w:rsid w:val="008371EE"/>
    <w:rsid w:val="0088496D"/>
    <w:rsid w:val="00886497"/>
    <w:rsid w:val="00891E00"/>
    <w:rsid w:val="00893DC2"/>
    <w:rsid w:val="008973BF"/>
    <w:rsid w:val="008A1CA8"/>
    <w:rsid w:val="008B1026"/>
    <w:rsid w:val="008B6319"/>
    <w:rsid w:val="008C055E"/>
    <w:rsid w:val="008C3FBA"/>
    <w:rsid w:val="008C5B54"/>
    <w:rsid w:val="008D2F55"/>
    <w:rsid w:val="008F7EFD"/>
    <w:rsid w:val="009022AC"/>
    <w:rsid w:val="0097096B"/>
    <w:rsid w:val="00977DDF"/>
    <w:rsid w:val="009A2271"/>
    <w:rsid w:val="009B093F"/>
    <w:rsid w:val="009C0492"/>
    <w:rsid w:val="009C2BB9"/>
    <w:rsid w:val="009E637E"/>
    <w:rsid w:val="00A00482"/>
    <w:rsid w:val="00A17979"/>
    <w:rsid w:val="00A2279A"/>
    <w:rsid w:val="00A30B2D"/>
    <w:rsid w:val="00A358B0"/>
    <w:rsid w:val="00A429F9"/>
    <w:rsid w:val="00A42ED2"/>
    <w:rsid w:val="00A45FAC"/>
    <w:rsid w:val="00A50AA7"/>
    <w:rsid w:val="00A77776"/>
    <w:rsid w:val="00A80423"/>
    <w:rsid w:val="00A91C06"/>
    <w:rsid w:val="00AA6182"/>
    <w:rsid w:val="00AB0FA3"/>
    <w:rsid w:val="00AB7EA1"/>
    <w:rsid w:val="00AC3F3D"/>
    <w:rsid w:val="00AC4361"/>
    <w:rsid w:val="00AC4E5B"/>
    <w:rsid w:val="00AC63D7"/>
    <w:rsid w:val="00AF3930"/>
    <w:rsid w:val="00AF6442"/>
    <w:rsid w:val="00B04417"/>
    <w:rsid w:val="00B07629"/>
    <w:rsid w:val="00B12BBA"/>
    <w:rsid w:val="00B15535"/>
    <w:rsid w:val="00B24CFD"/>
    <w:rsid w:val="00B27E17"/>
    <w:rsid w:val="00B3551F"/>
    <w:rsid w:val="00B36354"/>
    <w:rsid w:val="00B6363D"/>
    <w:rsid w:val="00B72C0C"/>
    <w:rsid w:val="00B75231"/>
    <w:rsid w:val="00B76F8C"/>
    <w:rsid w:val="00B8144B"/>
    <w:rsid w:val="00B82032"/>
    <w:rsid w:val="00B9358C"/>
    <w:rsid w:val="00B95068"/>
    <w:rsid w:val="00BA3CAB"/>
    <w:rsid w:val="00BA60EF"/>
    <w:rsid w:val="00BB7338"/>
    <w:rsid w:val="00BC2758"/>
    <w:rsid w:val="00BE00CC"/>
    <w:rsid w:val="00BF1D5F"/>
    <w:rsid w:val="00BF4DEE"/>
    <w:rsid w:val="00BF7567"/>
    <w:rsid w:val="00C15C82"/>
    <w:rsid w:val="00C27757"/>
    <w:rsid w:val="00C36181"/>
    <w:rsid w:val="00C3642C"/>
    <w:rsid w:val="00C37FD4"/>
    <w:rsid w:val="00C61144"/>
    <w:rsid w:val="00C619A4"/>
    <w:rsid w:val="00C705DE"/>
    <w:rsid w:val="00C7718C"/>
    <w:rsid w:val="00CA19EC"/>
    <w:rsid w:val="00CB3AED"/>
    <w:rsid w:val="00CB506C"/>
    <w:rsid w:val="00CB70EE"/>
    <w:rsid w:val="00CC0A65"/>
    <w:rsid w:val="00CC2531"/>
    <w:rsid w:val="00CE0042"/>
    <w:rsid w:val="00D14C32"/>
    <w:rsid w:val="00D35BB8"/>
    <w:rsid w:val="00D370FE"/>
    <w:rsid w:val="00D46FDA"/>
    <w:rsid w:val="00D70800"/>
    <w:rsid w:val="00D77E4E"/>
    <w:rsid w:val="00D922DA"/>
    <w:rsid w:val="00D96B7F"/>
    <w:rsid w:val="00DB1167"/>
    <w:rsid w:val="00DB393F"/>
    <w:rsid w:val="00DC5811"/>
    <w:rsid w:val="00DE3283"/>
    <w:rsid w:val="00E00E1A"/>
    <w:rsid w:val="00E06DAE"/>
    <w:rsid w:val="00E07463"/>
    <w:rsid w:val="00E10814"/>
    <w:rsid w:val="00E43B4B"/>
    <w:rsid w:val="00E46EDB"/>
    <w:rsid w:val="00E539AC"/>
    <w:rsid w:val="00E61875"/>
    <w:rsid w:val="00E6740E"/>
    <w:rsid w:val="00E749AA"/>
    <w:rsid w:val="00E91A49"/>
    <w:rsid w:val="00E973E3"/>
    <w:rsid w:val="00EA1B93"/>
    <w:rsid w:val="00EA6908"/>
    <w:rsid w:val="00EB0FF9"/>
    <w:rsid w:val="00EB5F37"/>
    <w:rsid w:val="00EB66DB"/>
    <w:rsid w:val="00EB67E5"/>
    <w:rsid w:val="00EB7830"/>
    <w:rsid w:val="00F25115"/>
    <w:rsid w:val="00F26051"/>
    <w:rsid w:val="00F32DA1"/>
    <w:rsid w:val="00F50F86"/>
    <w:rsid w:val="00F563D5"/>
    <w:rsid w:val="00F567B8"/>
    <w:rsid w:val="00F6193C"/>
    <w:rsid w:val="00F77D36"/>
    <w:rsid w:val="00F87FC8"/>
    <w:rsid w:val="00F922BE"/>
    <w:rsid w:val="00F978EE"/>
    <w:rsid w:val="00FA04F6"/>
    <w:rsid w:val="00FA64F3"/>
    <w:rsid w:val="00FB0473"/>
    <w:rsid w:val="00FB44C3"/>
    <w:rsid w:val="00FC376E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723E"/>
  <w15:chartTrackingRefBased/>
  <w15:docId w15:val="{CDCE520A-602B-407C-8E6B-FA7667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88"/>
    <w:pPr>
      <w:keepNext/>
      <w:spacing w:before="480" w:after="360" w:line="240" w:lineRule="auto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88"/>
    <w:pPr>
      <w:keepNext/>
      <w:spacing w:after="120" w:line="240" w:lineRule="auto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06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67"/>
  </w:style>
  <w:style w:type="paragraph" w:styleId="Footer">
    <w:name w:val="footer"/>
    <w:basedOn w:val="Normal"/>
    <w:link w:val="Foot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7"/>
  </w:style>
  <w:style w:type="character" w:customStyle="1" w:styleId="Heading1Char">
    <w:name w:val="Heading 1 Char"/>
    <w:basedOn w:val="DefaultParagraphFont"/>
    <w:link w:val="Heading1"/>
    <w:uiPriority w:val="9"/>
    <w:rsid w:val="00547C88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88"/>
    <w:rPr>
      <w:rFonts w:ascii="Calibri Light" w:eastAsia="MingLiU" w:hAnsi="Calibri Light" w:cs="Mangal"/>
      <w:b/>
      <w:color w:val="001C40"/>
      <w:sz w:val="36"/>
      <w:szCs w:val="26"/>
    </w:rPr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547C88"/>
    <w:pPr>
      <w:numPr>
        <w:numId w:val="1"/>
      </w:numPr>
      <w:spacing w:after="200" w:line="240" w:lineRule="auto"/>
      <w:contextualSpacing/>
    </w:pPr>
  </w:style>
  <w:style w:type="table" w:styleId="TableGrid">
    <w:name w:val="Table Grid"/>
    <w:basedOn w:val="TableNormal"/>
    <w:uiPriority w:val="39"/>
    <w:rsid w:val="00547C8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F3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30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70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qFormat/>
    <w:locked/>
    <w:rsid w:val="00BE00CC"/>
  </w:style>
  <w:style w:type="paragraph" w:customStyle="1" w:styleId="Default">
    <w:name w:val="Default"/>
    <w:rsid w:val="00E9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Number">
    <w:name w:val="List Number"/>
    <w:basedOn w:val="Normal"/>
    <w:rsid w:val="00257100"/>
    <w:pPr>
      <w:numPr>
        <w:numId w:val="35"/>
      </w:numPr>
      <w:spacing w:before="60" w:after="60" w:line="264" w:lineRule="auto"/>
    </w:pPr>
    <w:rPr>
      <w:rFonts w:ascii="Arial" w:eastAsia="Times New Roman" w:hAnsi="Arial" w:cs="Times New Roman"/>
      <w:szCs w:val="24"/>
    </w:rPr>
  </w:style>
  <w:style w:type="paragraph" w:styleId="ListNumber2">
    <w:name w:val="List Number 2"/>
    <w:basedOn w:val="Normal"/>
    <w:rsid w:val="00257100"/>
    <w:pPr>
      <w:numPr>
        <w:ilvl w:val="1"/>
        <w:numId w:val="35"/>
      </w:numPr>
      <w:spacing w:before="60" w:after="60" w:line="264" w:lineRule="auto"/>
    </w:pPr>
    <w:rPr>
      <w:rFonts w:ascii="Arial" w:eastAsia="Times New Roman" w:hAnsi="Arial" w:cs="Times New Roman"/>
      <w:szCs w:val="24"/>
    </w:rPr>
  </w:style>
  <w:style w:type="paragraph" w:styleId="ListNumber3">
    <w:name w:val="List Number 3"/>
    <w:basedOn w:val="Normal"/>
    <w:rsid w:val="00257100"/>
    <w:pPr>
      <w:numPr>
        <w:ilvl w:val="2"/>
        <w:numId w:val="35"/>
      </w:numPr>
      <w:spacing w:before="60" w:after="60" w:line="264" w:lineRule="auto"/>
    </w:pPr>
    <w:rPr>
      <w:rFonts w:ascii="Arial" w:eastAsia="Times New Roman" w:hAnsi="Arial" w:cs="Times New Roman"/>
      <w:szCs w:val="24"/>
    </w:rPr>
  </w:style>
  <w:style w:type="paragraph" w:styleId="ListNumber4">
    <w:name w:val="List Number 4"/>
    <w:basedOn w:val="Normal"/>
    <w:rsid w:val="00257100"/>
    <w:pPr>
      <w:numPr>
        <w:ilvl w:val="3"/>
        <w:numId w:val="35"/>
      </w:numPr>
      <w:spacing w:before="120" w:after="60" w:line="264" w:lineRule="auto"/>
    </w:pPr>
    <w:rPr>
      <w:rFonts w:ascii="Arial" w:eastAsia="Times New Roman" w:hAnsi="Arial" w:cs="Times New Roman"/>
      <w:szCs w:val="24"/>
    </w:rPr>
  </w:style>
  <w:style w:type="paragraph" w:styleId="ListNumber5">
    <w:name w:val="List Number 5"/>
    <w:basedOn w:val="Normal"/>
    <w:rsid w:val="00257100"/>
    <w:pPr>
      <w:numPr>
        <w:ilvl w:val="4"/>
        <w:numId w:val="35"/>
      </w:numPr>
      <w:spacing w:before="120" w:after="60" w:line="264" w:lineRule="auto"/>
    </w:pPr>
    <w:rPr>
      <w:rFonts w:ascii="Arial" w:eastAsia="Times New Roman" w:hAnsi="Arial" w:cs="Times New Roman"/>
      <w:szCs w:val="24"/>
    </w:rPr>
  </w:style>
  <w:style w:type="paragraph" w:customStyle="1" w:styleId="CLLOparanumbers">
    <w:name w:val="CLLO para numbers"/>
    <w:basedOn w:val="ListNumber"/>
    <w:link w:val="CLLOparanumbersChar"/>
    <w:rsid w:val="00257100"/>
    <w:pPr>
      <w:spacing w:line="240" w:lineRule="auto"/>
      <w:jc w:val="both"/>
    </w:pPr>
    <w:rPr>
      <w:rFonts w:eastAsia="Batang"/>
      <w:sz w:val="20"/>
      <w:szCs w:val="20"/>
    </w:rPr>
  </w:style>
  <w:style w:type="character" w:customStyle="1" w:styleId="CLLOparanumbersChar">
    <w:name w:val="CLLO para numbers Char"/>
    <w:basedOn w:val="DefaultParagraphFont"/>
    <w:link w:val="CLLOparanumbers"/>
    <w:rsid w:val="00257100"/>
    <w:rPr>
      <w:rFonts w:ascii="Arial" w:eastAsia="Batang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NACPanel@arts.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rts.qld.gov.au/projects-and-initiatives/first-nations-arts-and-cultures-pane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CDC7E7116934DBAE78C8D173C1632" ma:contentTypeVersion="11" ma:contentTypeDescription="Create a new document." ma:contentTypeScope="" ma:versionID="d076c77da5d30f4ae507ac420e2d66ba">
  <xsd:schema xmlns:xsd="http://www.w3.org/2001/XMLSchema" xmlns:xs="http://www.w3.org/2001/XMLSchema" xmlns:p="http://schemas.microsoft.com/office/2006/metadata/properties" xmlns:ns3="70823d09-15e1-40cb-b2aa-f3f3e962c4f7" xmlns:ns4="1749a9a7-1660-44e7-b144-fd145ff790bf" targetNamespace="http://schemas.microsoft.com/office/2006/metadata/properties" ma:root="true" ma:fieldsID="8fa3945a2f3a51e7acc469ba40258791" ns3:_="" ns4:_="">
    <xsd:import namespace="70823d09-15e1-40cb-b2aa-f3f3e962c4f7"/>
    <xsd:import namespace="1749a9a7-1660-44e7-b144-fd145ff79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3d09-15e1-40cb-b2aa-f3f3e962c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a9a7-1660-44e7-b144-fd145ff79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E05DE-770A-4302-A1B9-9F9DA7F08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968BD-1CBD-49F1-8E90-F0C5EA4E9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BC265-986D-47CA-83B2-1313456EC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FF1195-6FCE-4257-8CAE-4BB71F79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3d09-15e1-40cb-b2aa-f3f3e962c4f7"/>
    <ds:schemaRef ds:uri="1749a9a7-1660-44e7-b144-fd145ff79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Brearley</dc:creator>
  <cp:keywords/>
  <dc:description/>
  <cp:lastModifiedBy>Alex Lee</cp:lastModifiedBy>
  <cp:revision>5</cp:revision>
  <cp:lastPrinted>2021-04-15T03:26:00Z</cp:lastPrinted>
  <dcterms:created xsi:type="dcterms:W3CDTF">2023-01-23T06:16:00Z</dcterms:created>
  <dcterms:modified xsi:type="dcterms:W3CDTF">2023-01-24T02:13:00Z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0x010100F04CDC7E7116934DBAE78C8D173C1632</vt:lpwstr>
  </property>
</Properties>
</file>